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08C" w:rsidRPr="00175C24" w:rsidRDefault="009B6D78" w:rsidP="008B008C">
      <w:pPr>
        <w:pStyle w:val="JAK11JUDUL"/>
        <w:rPr>
          <w:lang w:val="en-US"/>
        </w:rPr>
      </w:pPr>
      <w:r w:rsidRPr="009B6D78">
        <w:rPr>
          <w:lang w:val="en-US"/>
        </w:rPr>
        <w:t>ANALISIS KEMAMPUAN KEUANGAN DAERAH DALAM MENDUKUNG OTONOMI DAERAH DI KABUPATEN WONOSOBO TAHUN 2020-2024</w:t>
      </w:r>
    </w:p>
    <w:p w:rsidR="008B008C" w:rsidRPr="008B008C" w:rsidRDefault="009B6D78" w:rsidP="008B008C">
      <w:pPr>
        <w:pStyle w:val="JAK12PENULIS"/>
        <w:rPr>
          <w:b w:val="0"/>
        </w:rPr>
      </w:pPr>
      <w:r>
        <w:t>Febri Ardi Nugroho</w:t>
      </w:r>
      <w:r w:rsidR="008B008C" w:rsidRPr="00715728">
        <w:rPr>
          <w:vertAlign w:val="superscript"/>
        </w:rPr>
        <w:t>a,</w:t>
      </w:r>
      <w:r w:rsidR="008B008C" w:rsidRPr="00715728">
        <w:t xml:space="preserve">*, </w:t>
      </w:r>
      <w:r>
        <w:t>Romandhon</w:t>
      </w:r>
      <w:r w:rsidR="008B008C" w:rsidRPr="00715728">
        <w:rPr>
          <w:vertAlign w:val="superscript"/>
        </w:rPr>
        <w:t>b</w:t>
      </w:r>
      <w:r w:rsidR="008B008C" w:rsidRPr="00715728">
        <w:t xml:space="preserve">, </w:t>
      </w:r>
      <w:r>
        <w:t>Susanti</w:t>
      </w:r>
      <w:r w:rsidR="008B008C">
        <w:rPr>
          <w:vertAlign w:val="superscript"/>
        </w:rPr>
        <w:t>c</w:t>
      </w:r>
    </w:p>
    <w:p w:rsidR="008B008C" w:rsidRPr="002952CF" w:rsidRDefault="008B008C" w:rsidP="00FF5A77">
      <w:pPr>
        <w:pStyle w:val="JAK13INSTITUSI"/>
        <w:rPr>
          <w:vertAlign w:val="baseline"/>
        </w:rPr>
      </w:pPr>
      <w:r w:rsidRPr="002952CF">
        <w:t xml:space="preserve">a </w:t>
      </w:r>
      <w:r w:rsidR="009B6D78">
        <w:rPr>
          <w:vertAlign w:val="baseline"/>
        </w:rPr>
        <w:t>Universitas Sains Al-Qur’an Jawa Tengah di Wonosobo, Indonesia</w:t>
      </w:r>
    </w:p>
    <w:p w:rsidR="008B008C" w:rsidRPr="0057626D" w:rsidRDefault="008B008C" w:rsidP="00FF5A77">
      <w:pPr>
        <w:pStyle w:val="JAK13INSTITUSI"/>
      </w:pPr>
      <w:r w:rsidRPr="00715728">
        <w:t xml:space="preserve"> b </w:t>
      </w:r>
      <w:r w:rsidR="009B6D78">
        <w:rPr>
          <w:vertAlign w:val="baseline"/>
        </w:rPr>
        <w:t>Universitas Sains Al-Qur’an Jawa Tengah di Wonosobo, Indonesia</w:t>
      </w:r>
    </w:p>
    <w:p w:rsidR="008B008C" w:rsidRPr="002952CF" w:rsidRDefault="008B008C" w:rsidP="00FF5A77">
      <w:pPr>
        <w:pStyle w:val="JAK13INSTITUSI"/>
        <w:rPr>
          <w:vertAlign w:val="baseline"/>
        </w:rPr>
      </w:pPr>
      <w:r>
        <w:t>c</w:t>
      </w:r>
      <w:r w:rsidR="002952CF">
        <w:t xml:space="preserve"> </w:t>
      </w:r>
      <w:r w:rsidR="009B6D78">
        <w:rPr>
          <w:vertAlign w:val="baseline"/>
        </w:rPr>
        <w:t>Universitas Sains Al-Qur’an Jawa Tengah di Wonosobo, Indonesia</w:t>
      </w:r>
    </w:p>
    <w:p w:rsidR="008B008C" w:rsidRDefault="00674D36" w:rsidP="00FF5A77">
      <w:pPr>
        <w:pStyle w:val="JAK14EMAILPENULIS"/>
      </w:pPr>
      <w:hyperlink r:id="rId8" w:history="1">
        <w:r w:rsidR="009B6D78" w:rsidRPr="00493FA1">
          <w:rPr>
            <w:rStyle w:val="Hyperlink"/>
            <w:rFonts w:cstheme="minorBidi"/>
          </w:rPr>
          <w:t>febri.ardi76@gmail.com</w:t>
        </w:r>
      </w:hyperlink>
    </w:p>
    <w:p w:rsidR="0080101E" w:rsidRDefault="0080101E" w:rsidP="00FF5A77">
      <w:pPr>
        <w:pStyle w:val="JAK14EMAILPENULIS"/>
      </w:pPr>
    </w:p>
    <w:tbl>
      <w:tblPr>
        <w:tblW w:w="9000" w:type="dxa"/>
        <w:tblBorders>
          <w:top w:val="double" w:sz="4" w:space="0" w:color="auto"/>
          <w:bottom w:val="double" w:sz="4" w:space="0" w:color="auto"/>
          <w:insideH w:val="single" w:sz="4" w:space="0" w:color="000000" w:themeColor="text1"/>
          <w:insideV w:val="single" w:sz="4" w:space="0" w:color="000000" w:themeColor="text1"/>
        </w:tblBorders>
        <w:tblCellMar>
          <w:top w:w="113" w:type="dxa"/>
          <w:bottom w:w="113" w:type="dxa"/>
        </w:tblCellMar>
        <w:tblLook w:val="04A0" w:firstRow="1" w:lastRow="0" w:firstColumn="1" w:lastColumn="0" w:noHBand="0" w:noVBand="1"/>
      </w:tblPr>
      <w:tblGrid>
        <w:gridCol w:w="9000"/>
      </w:tblGrid>
      <w:tr w:rsidR="008B008C" w:rsidRPr="00715728" w:rsidTr="00CE655F">
        <w:tc>
          <w:tcPr>
            <w:tcW w:w="9000" w:type="dxa"/>
          </w:tcPr>
          <w:p w:rsidR="008B008C" w:rsidRPr="00926A60" w:rsidRDefault="00926A60" w:rsidP="00CE655F">
            <w:pPr>
              <w:pStyle w:val="JAK15AABSTRACTJUDUL"/>
              <w:ind w:left="-109" w:right="-109"/>
            </w:pPr>
            <w:r w:rsidRPr="00926A60">
              <w:t>ABSTRACT</w:t>
            </w:r>
          </w:p>
          <w:p w:rsidR="008B008C" w:rsidRDefault="009B6D78" w:rsidP="00CE655F">
            <w:pPr>
              <w:pStyle w:val="JAK15BABSTRACTBODY"/>
              <w:ind w:left="-109" w:right="-109"/>
            </w:pPr>
            <w:r w:rsidRPr="009B6D78">
              <w:t>This study aims to analyze the financial capability of Wonosobo Regency in supporting the implementation of regional autonomy during the period of 2020–2024. The research employs a descriptive qualitative approach using primary data obtained through interviews and secondary data derived from Budget Realization Reports and publications of the Central Bureau of Statistics (BPS). The analysis involves calculations of the independence ratio, fiscal decentralization ratio, local revenue effectiveness, financial dependency, as well as share, growth, and elasticity analysis. The findings indicate that the level of financial independence in Wonosobo Regency remains in the low category with an instructive relationship pattern, meaning that the regional government is still highly dependent on transfer revenues. Although the effectiveness of local revenue (PAD) is categorized as very effective, its contribution to the total regional income remains low, and its growth fluctuates. Quadrant analysis shows that regional financial conditions are unstable, with potential improvement occurring only in certain years. The main constraints include suboptimal utilization of PAD potential, the dominance of operational expenditures, and challenges in implementing digital-based revenue collection. The government has undertaken efforts through intensification, extensification, and administrative modernization, but the results have not yet shown significant improvement. Therefore, a sustainable strategy is required to strengthen the revenue base and regional fiscal capacity.</w:t>
            </w:r>
          </w:p>
          <w:p w:rsidR="009B6D78" w:rsidRPr="00926A60" w:rsidRDefault="009B6D78" w:rsidP="009B6D78">
            <w:pPr>
              <w:pStyle w:val="JAK15BABSTRACTBODY"/>
              <w:ind w:left="-109" w:right="-109"/>
            </w:pPr>
          </w:p>
          <w:p w:rsidR="008B008C" w:rsidRPr="00926A60" w:rsidRDefault="008B008C" w:rsidP="009B6D78">
            <w:pPr>
              <w:pStyle w:val="JAK15CKEYWORDS"/>
              <w:spacing w:before="0"/>
              <w:ind w:left="-109" w:right="-109"/>
              <w:rPr>
                <w:lang w:val="en-US"/>
              </w:rPr>
            </w:pPr>
            <w:r w:rsidRPr="00926A60">
              <w:t xml:space="preserve">Keywords: </w:t>
            </w:r>
            <w:r w:rsidR="009B6D78">
              <w:rPr>
                <w:b w:val="0"/>
                <w:lang w:val="en-US"/>
              </w:rPr>
              <w:t>Regional Financial Independence</w:t>
            </w:r>
            <w:r w:rsidR="00926A60" w:rsidRPr="000F0EBE">
              <w:rPr>
                <w:b w:val="0"/>
                <w:lang w:val="en-US"/>
              </w:rPr>
              <w:t xml:space="preserve">; </w:t>
            </w:r>
            <w:r w:rsidR="009B6D78" w:rsidRPr="009B6D78">
              <w:rPr>
                <w:b w:val="0"/>
                <w:lang w:val="en-US"/>
              </w:rPr>
              <w:t>Regional Autonomy</w:t>
            </w:r>
            <w:r w:rsidR="009B6D78">
              <w:rPr>
                <w:b w:val="0"/>
                <w:lang w:val="en-US"/>
              </w:rPr>
              <w:t>;</w:t>
            </w:r>
            <w:r w:rsidR="009B6D78" w:rsidRPr="009B6D78">
              <w:rPr>
                <w:b w:val="0"/>
                <w:lang w:val="en-US"/>
              </w:rPr>
              <w:t xml:space="preserve"> Fiscal Decentralization</w:t>
            </w:r>
            <w:r w:rsidRPr="000F0EBE">
              <w:rPr>
                <w:b w:val="0"/>
                <w:lang w:val="en-US"/>
              </w:rPr>
              <w:t>.</w:t>
            </w:r>
          </w:p>
          <w:p w:rsidR="008B008C" w:rsidRPr="00926A60" w:rsidRDefault="00926A60" w:rsidP="00CE655F">
            <w:pPr>
              <w:pStyle w:val="JAK16AABSTRAKJUDUL"/>
              <w:ind w:left="-109" w:right="-109"/>
            </w:pPr>
            <w:r w:rsidRPr="00926A60">
              <w:t>ABSTRAK</w:t>
            </w:r>
          </w:p>
          <w:p w:rsidR="008B008C" w:rsidRPr="00926A60" w:rsidRDefault="009B6D78" w:rsidP="001513E0">
            <w:pPr>
              <w:pStyle w:val="JAK16BABSTRAKBODY"/>
              <w:ind w:left="-109" w:right="-109"/>
              <w:rPr>
                <w:szCs w:val="22"/>
                <w:lang w:val="en-US"/>
              </w:rPr>
            </w:pPr>
            <w:r w:rsidRPr="009B6D78">
              <w:t>Penelitian ini bertujuan untuk menganalisis kemampuan keuangan daerah Kabupaten Wonosobo dalam mendukung pelaksanaan otonomi daerah selama tahun 2020–2024. Metode penelitian yang digunakan adalah pendekatan kualitatif deskriptif dengan memanfaatkan data primer melalui wawancara serta data sekunder dari Laporan Realisasi Anggaran dan publikasi BPS. Analisis dilakukan melalui perhitungan rasio kemandirian, desentralisasi fiskal, efektivitas PAD, ketergantungan keuangan, serta analisis share, growth, dan elasticity. Hasil penelitian menunjukkan bahwa tingkat kemandirian keuangan Kabupaten Wonosobo masih berada pada kategori rendah dengan pola hubungan instruktif, yang berarti pemerintah daerah sangat bergantung pada pendapatan transfer. Meskipun efektivitas PAD berada dalam kategori sangat efektif, kontribusi PAD terhadap total pendapatan daerah masih rendah dan pertumbuhan PAD bersifat fluktuatif. Analisis kuadran menunjukkan kondisi keuangan daerah tidak stabil, hanya pada tahun tertentu menunjukkan potensi peningkatan. Kendala utama meliputi terbatasnya optimalisasi potensi PAD, dominasi belanja operasional, serta hambatan dalam penerapan digitalisasi pemungutan. Upaya pemerintah telah dilakukan melalui intensifikasi, ekstensifikasi, dan modernisasi administrasi, namun hasilnya belum signifikan. Diperlukan strategi berkelanjutan untuk memperkuat basis pendapatan dan ruang fiskal daerah</w:t>
            </w:r>
            <w:r w:rsidR="00B175BC" w:rsidRPr="00EE47F3">
              <w:t>.</w:t>
            </w:r>
          </w:p>
          <w:p w:rsidR="008B008C" w:rsidRPr="00CE566F" w:rsidRDefault="008B008C" w:rsidP="00CE655F">
            <w:pPr>
              <w:ind w:left="-109" w:right="-109"/>
            </w:pPr>
          </w:p>
          <w:p w:rsidR="008B008C" w:rsidRPr="0082302F" w:rsidRDefault="008B008C" w:rsidP="009B6D78">
            <w:pPr>
              <w:pStyle w:val="JAK16CKATAKUNCI"/>
              <w:ind w:left="-109" w:right="-109"/>
              <w:rPr>
                <w:iCs/>
                <w:sz w:val="20"/>
                <w:szCs w:val="20"/>
                <w:lang w:val="en-US"/>
              </w:rPr>
            </w:pPr>
            <w:r w:rsidRPr="00926A60">
              <w:t>Kata Kunci</w:t>
            </w:r>
            <w:r w:rsidRPr="00926A60">
              <w:rPr>
                <w:lang w:val="en-US"/>
              </w:rPr>
              <w:t xml:space="preserve">: </w:t>
            </w:r>
            <w:r w:rsidR="009B6D78">
              <w:rPr>
                <w:b w:val="0"/>
                <w:lang w:val="en-US"/>
              </w:rPr>
              <w:t>Kemandirian Keuangan Daerah</w:t>
            </w:r>
            <w:r w:rsidR="009B6D78">
              <w:rPr>
                <w:b w:val="0"/>
              </w:rPr>
              <w:t>; Otonomi Daerah;</w:t>
            </w:r>
            <w:r w:rsidR="00B175BC" w:rsidRPr="00CE566F">
              <w:rPr>
                <w:b w:val="0"/>
              </w:rPr>
              <w:t xml:space="preserve"> </w:t>
            </w:r>
            <w:r w:rsidR="009B6D78">
              <w:rPr>
                <w:b w:val="0"/>
              </w:rPr>
              <w:t>Desentralisasi Fiskal</w:t>
            </w:r>
            <w:r w:rsidRPr="00CE566F">
              <w:rPr>
                <w:b w:val="0"/>
              </w:rPr>
              <w:t>.</w:t>
            </w:r>
            <w:r w:rsidRPr="0082302F">
              <w:rPr>
                <w:sz w:val="20"/>
                <w:szCs w:val="20"/>
              </w:rPr>
              <w:t xml:space="preserve"> </w:t>
            </w:r>
          </w:p>
        </w:tc>
      </w:tr>
    </w:tbl>
    <w:p w:rsidR="00CE566F" w:rsidRDefault="00CE566F" w:rsidP="008B008C">
      <w:pPr>
        <w:rPr>
          <w:lang w:val="en-US"/>
        </w:rPr>
        <w:sectPr w:rsidR="00CE566F" w:rsidSect="00AA4F03">
          <w:headerReference w:type="default" r:id="rId9"/>
          <w:footerReference w:type="first" r:id="rId10"/>
          <w:pgSz w:w="11906" w:h="16838" w:code="9"/>
          <w:pgMar w:top="1701" w:right="1134" w:bottom="1134" w:left="1701" w:header="709" w:footer="709" w:gutter="0"/>
          <w:cols w:space="708"/>
          <w:titlePg/>
          <w:docGrid w:linePitch="360"/>
        </w:sectPr>
      </w:pPr>
    </w:p>
    <w:p w:rsidR="009B6D78" w:rsidRDefault="009B6D78" w:rsidP="005B23CD">
      <w:pPr>
        <w:pStyle w:val="JAK21HEADINGPENDAHULUANdll"/>
      </w:pPr>
    </w:p>
    <w:p w:rsidR="009B6D78" w:rsidRDefault="009B6D78" w:rsidP="005B23CD">
      <w:pPr>
        <w:pStyle w:val="JAK21HEADINGPENDAHULUANdll"/>
      </w:pPr>
    </w:p>
    <w:p w:rsidR="008B008C" w:rsidRDefault="00CE566F" w:rsidP="005B23CD">
      <w:pPr>
        <w:pStyle w:val="JAK21HEADINGPENDAHULUANdll"/>
      </w:pPr>
      <w:r>
        <w:lastRenderedPageBreak/>
        <w:t>PENDAHULUAN</w:t>
      </w:r>
    </w:p>
    <w:p w:rsidR="001513E0" w:rsidRDefault="001513E0" w:rsidP="001513E0">
      <w:pPr>
        <w:pStyle w:val="JAK22aBODYARTIKEL"/>
        <w:ind w:firstLine="426"/>
      </w:pPr>
      <w:r>
        <w:t xml:space="preserve">Sejak era reformasi, Indonesia mulai menerapkan sistem otonomi daerah secara luas. Undang-Undang Nomor 23 Tahun 2014 tentang Pemerintahan Daerah menjelaskan bahwa otonomi daerah merupakan kewenangan fiskal dan administratif yang diberikan pemerintah pusat kepada provinsi serta kabupaten/kota untuk mempercepat pelayanan publik, meningkatkan akuntabilitas, dan mendorong pembangunan yang lebih sesuai dengan kebutuhan dan kondisi masing-masing </w:t>
      </w:r>
      <w:r w:rsidR="004469E9">
        <w:t xml:space="preserve">daerah </w:t>
      </w:r>
      <w:r w:rsidR="004469E9">
        <w:fldChar w:fldCharType="begin" w:fldLock="1"/>
      </w:r>
      <w:r w:rsidR="00A74242">
        <w:instrText>ADDIN CSL_CITATION {"citationItems":[{"id":"ITEM-1","itemData":{"DOI":"10.59581/jhsp-widyakarya.v3i1.4718","ISSN":"2986-4445","abstract":"This paper discusses in depth the regulation and implementation of Law Number 23 of 2014 on Regional Government in Indonesia, as well as its impact on regional autonomy and the relationship between central and regional governments. This law serves as an essential foundation for more effective and efficient regional government management, but it also presents various challenges in its implementation. The issues raised in this research include challenges in applying the principles of decentralization and deconcentration, as well as the authority granted to regional governments in managing natural resources, public services, and other aspects related to regional autonomy. The aim of this research is to explore and analyze the legal aspects that influence the effectiveness of regional policies, using a normative legal approach and descriptive analysis. This research method involves an in-depth literature study, including an examination of existing regulations and analysis of relevant literature. The research findings indicate that although the Regional Government Law provides rights and authorities for regions to manage their own governmental affairs, there are several obstacles in its implementation. These obstacles include regulatory ambiguities, a lack of harmonization between implementing regulations, and issues in monitoring and evaluating the performance of regional governments. Furthermore, the relationship between central and regional governments often does not function optimally, resulting in uncertainties in carrying out the duties and responsibilities of each party. The conclusions drawn from this research emphasize the need for evaluation and adjustment of existing regulations, as well as the importance of better collaboration between central and regional governments. This is necessary to ensure that the goals of equitable and fair development can be achieved. The research also recommends the need for clearer and more integrated implementing regulations, as well as enhancing human resource capacity at the regional level to support effective policy implementation.","author":[{"dropping-particle":"","family":"Muhammad Khaidir Kahfi Natsir","given":"","non-dropping-particle":"","parse-names":false,"suffix":""}],"container-title":"Jurnal Hukum dan Sosial Politik","id":"ITEM-1","issue":"1","issued":{"date-parts":[["2025"]]},"page":"141-162","title":"Analisis Otonomi Daerah Berdasarkan Undang-Undang Nomor 23 Tahun 2014 Tentang Pemerintahan Daerah","type":"article-journal","volume":"3"},"uris":["http://www.mendeley.com/documents/?uuid=5c40a8b0-78c5-49ad-8eeb-6bfed0bd91ee"]}],"mendeley":{"formattedCitation":"(Muhammad Khaidir Kahfi Natsir, 2025)","plainTextFormattedCitation":"(Muhammad Khaidir Kahfi Natsir, 2025)","previouslyFormattedCitation":"(Muhammad Khaidir Kahfi Natsir, 2025)"},"properties":{"noteIndex":0},"schema":"https://github.com/citation-style-language/schema/raw/master/csl-citation.json"}</w:instrText>
      </w:r>
      <w:r w:rsidR="004469E9">
        <w:fldChar w:fldCharType="separate"/>
      </w:r>
      <w:r w:rsidR="00A74242" w:rsidRPr="00A74242">
        <w:rPr>
          <w:noProof/>
        </w:rPr>
        <w:t>(Muhammad Khaidir Kahfi Natsir, 2025)</w:t>
      </w:r>
      <w:r w:rsidR="004469E9">
        <w:fldChar w:fldCharType="end"/>
      </w:r>
      <w:r>
        <w:t>. Keberhasilan otonomi daerah pada dasarnya tergantung pada kemampuan tiap daerah untuk membiayai kebutuhan pemerintahannya sendiri, terutama melalui Pendapatan Asli Daerah (PAD) yang mencerminkan kapasitas fiskal lokal dalam mencapai kemandirian dan memenuhi kebutuhan masyarakat. Secara teori (Wahyudi et al., 2022), pembagian fiskal ini sejalan dengan konsep fiscal federalism, yang menekankan pentingnya desentralisasi fiskal supaya layanan publik bisa lebih sesuai dengan kebutuhan dan preferensi masyarakat tiap daerah, terciptanya kompetisi antar daerah, serta peningkatan efisiensi pengelolaan keuangan. Namun, konsep ini juga menekankan adanya risiko jika kapasitas penerimaan daerah masih terbatas.</w:t>
      </w:r>
    </w:p>
    <w:p w:rsidR="001513E0" w:rsidRDefault="001513E0" w:rsidP="001513E0">
      <w:pPr>
        <w:pStyle w:val="JAK22aBODYARTIKEL"/>
        <w:ind w:firstLine="426"/>
      </w:pPr>
      <w:r>
        <w:t xml:space="preserve">Dalam praktiknya, meskipun otonomi daerah Indonesia dimaksudkan untuk memperkuat kewenangan pemerintah daerah, kenyataannya banyak daerah masih bergantung pada transfer dana dari pemerintah pusat. Data Anggaran Pendapatan dan Belanja Daerah (APBD) konsolidasi menunjukkan bahwa kontribusi PAD terhadap total pendapatan daerah bervariasi dan dalam banyak kasus masih relatif kecil. Kondisi ini menunjukkan tingginya ketergantungan fiskal pada pemerintah pusat, yang pada akhirnya membatasi kemandirian daerah dalam menyusun kebijakan fiskal. Ketergantungan ini juga mengurangi </w:t>
      </w:r>
      <w:r>
        <w:lastRenderedPageBreak/>
        <w:t>kapasitas investasi publik jangka panjang, mempersempit ruang gerak kebijakan lokal, dan berpotensi memperlebar kesenjangan antar daerah dalam menyediakan layanan dasar</w:t>
      </w:r>
      <w:r w:rsidR="00A74242">
        <w:t xml:space="preserve"> </w:t>
      </w:r>
      <w:r w:rsidR="00A74242">
        <w:fldChar w:fldCharType="begin" w:fldLock="1"/>
      </w:r>
      <w:r w:rsidR="00A74242">
        <w:instrText>ADDIN CSL_CITATION {"citationItems":[{"id":"ITEM-1","itemData":{"author":[{"dropping-particle":"","family":"Saragih","given":"Richardo","non-dropping-particle":"","parse-names":false,"suffix":""},{"dropping-particle":"","family":"Terapan","given":"Magister","non-dropping-particle":"","parse-names":false,"suffix":""},{"dropping-particle":"","family":"Informasi","given":"Sistem","non-dropping-particle":"","parse-names":false,"suffix":""},{"dropping-particle":"","family":"Medan","given":"Politeknik Negeri","non-dropping-particle":"","parse-names":false,"suffix":""},{"dropping-particle":"","family":"Samosir","given":"Kabupaten","non-dropping-particle":"","parse-names":false,"suffix":""},{"dropping-particle":"","family":"Nias","given":"Kabupaten","non-dropping-particle":"","parse-names":false,"suffix":""}],"id":"ITEM-1","issued":{"date-parts":[["2023"]]},"page":"1-11","title":"Analisis Kemandirian Keuangan Daerah , Ketergantungan Fiskal dan Efektivitas Fiskal pada Kabupaten Tapanuli Utara dan Daerah Otonomi Barunya Periode Tahun 2018-2022 di Indonesia . Sistem pemerintahan pada masa orde baru yang terpusat ( sentralisasi kekuas","type":"article-journal","volume":"6"},"uris":["http://www.mendeley.com/documents/?uuid=111df78d-2830-46d5-be37-9a556ad1dfa3"]}],"mendeley":{"formattedCitation":"(Saragih et al., 2023)","plainTextFormattedCitation":"(Saragih et al., 2023)","previouslyFormattedCitation":"(Saragih et al., 2023)"},"properties":{"noteIndex":0},"schema":"https://github.com/citation-style-language/schema/raw/master/csl-citation.json"}</w:instrText>
      </w:r>
      <w:r w:rsidR="00A74242">
        <w:fldChar w:fldCharType="separate"/>
      </w:r>
      <w:r w:rsidR="00A74242" w:rsidRPr="00A74242">
        <w:rPr>
          <w:noProof/>
        </w:rPr>
        <w:t>(Saragih et al., 2023)</w:t>
      </w:r>
      <w:r w:rsidR="00A74242">
        <w:fldChar w:fldCharType="end"/>
      </w:r>
      <w:r>
        <w:t>.</w:t>
      </w:r>
    </w:p>
    <w:p w:rsidR="00C54DB3" w:rsidRDefault="001513E0" w:rsidP="00570D64">
      <w:pPr>
        <w:pStyle w:val="JAK22aBODYARTIKEL"/>
        <w:jc w:val="center"/>
      </w:pPr>
      <w:r>
        <w:t>Tabel 1. R</w:t>
      </w:r>
      <w:r w:rsidR="00EC479D">
        <w:t>ealisasi Pendapatan Asli Daerah dan</w:t>
      </w:r>
      <w:r>
        <w:t xml:space="preserve"> Pendapatan Transfer</w:t>
      </w:r>
      <w:r w:rsidR="00EC479D">
        <w:t xml:space="preserve"> </w:t>
      </w:r>
      <w:r>
        <w:t>Kabupaten/Kota se-Karesidenan Kedu Tahun 2024</w:t>
      </w:r>
    </w:p>
    <w:tbl>
      <w:tblPr>
        <w:tblW w:w="4983" w:type="dxa"/>
        <w:tblInd w:w="-142" w:type="dxa"/>
        <w:tblLook w:val="04A0" w:firstRow="1" w:lastRow="0" w:firstColumn="1" w:lastColumn="0" w:noHBand="0" w:noVBand="1"/>
      </w:tblPr>
      <w:tblGrid>
        <w:gridCol w:w="1701"/>
        <w:gridCol w:w="1566"/>
        <w:gridCol w:w="1716"/>
      </w:tblGrid>
      <w:tr w:rsidR="00EC479D" w:rsidRPr="00EC479D" w:rsidTr="00EC479D">
        <w:trPr>
          <w:trHeight w:val="506"/>
        </w:trPr>
        <w:tc>
          <w:tcPr>
            <w:tcW w:w="1701" w:type="dxa"/>
            <w:tcBorders>
              <w:top w:val="single" w:sz="4" w:space="0" w:color="auto"/>
              <w:left w:val="nil"/>
              <w:bottom w:val="single" w:sz="4" w:space="0" w:color="auto"/>
              <w:right w:val="nil"/>
            </w:tcBorders>
            <w:vAlign w:val="center"/>
            <w:hideMark/>
          </w:tcPr>
          <w:p w:rsidR="00EC479D" w:rsidRPr="00EC479D" w:rsidRDefault="00EC479D" w:rsidP="00EC479D">
            <w:pPr>
              <w:jc w:val="center"/>
              <w:rPr>
                <w:rFonts w:eastAsia="Times New Roman" w:cs="Times New Roman"/>
                <w:color w:val="000000"/>
                <w:sz w:val="20"/>
                <w:szCs w:val="22"/>
                <w:lang w:val="en-US" w:eastAsia="id-ID"/>
              </w:rPr>
            </w:pPr>
            <w:r w:rsidRPr="00EC479D">
              <w:rPr>
                <w:rFonts w:eastAsia="Times New Roman" w:cs="Times New Roman"/>
                <w:color w:val="000000"/>
                <w:sz w:val="20"/>
                <w:szCs w:val="22"/>
                <w:lang w:val="en-US"/>
              </w:rPr>
              <w:t>Kab/Kota</w:t>
            </w:r>
          </w:p>
        </w:tc>
        <w:tc>
          <w:tcPr>
            <w:tcW w:w="1566" w:type="dxa"/>
            <w:tcBorders>
              <w:top w:val="single" w:sz="4" w:space="0" w:color="auto"/>
              <w:left w:val="nil"/>
              <w:bottom w:val="single" w:sz="4" w:space="0" w:color="auto"/>
              <w:right w:val="nil"/>
            </w:tcBorders>
            <w:vAlign w:val="center"/>
            <w:hideMark/>
          </w:tcPr>
          <w:p w:rsidR="00EC479D" w:rsidRPr="00EC479D" w:rsidRDefault="00EC479D" w:rsidP="00EC479D">
            <w:pPr>
              <w:jc w:val="center"/>
              <w:rPr>
                <w:rFonts w:eastAsia="Times New Roman" w:cs="Times New Roman"/>
                <w:color w:val="000000"/>
                <w:sz w:val="20"/>
                <w:szCs w:val="22"/>
                <w:lang w:val="en-US"/>
              </w:rPr>
            </w:pPr>
            <w:r w:rsidRPr="00EC479D">
              <w:rPr>
                <w:rFonts w:eastAsia="Times New Roman" w:cs="Times New Roman"/>
                <w:color w:val="000000"/>
                <w:sz w:val="20"/>
                <w:szCs w:val="22"/>
                <w:lang w:val="en-US"/>
              </w:rPr>
              <w:t>PAD (Rp)</w:t>
            </w:r>
          </w:p>
        </w:tc>
        <w:tc>
          <w:tcPr>
            <w:tcW w:w="1716" w:type="dxa"/>
            <w:tcBorders>
              <w:top w:val="single" w:sz="4" w:space="0" w:color="auto"/>
              <w:left w:val="nil"/>
              <w:bottom w:val="single" w:sz="4" w:space="0" w:color="auto"/>
              <w:right w:val="nil"/>
            </w:tcBorders>
            <w:vAlign w:val="center"/>
            <w:hideMark/>
          </w:tcPr>
          <w:p w:rsidR="00EC479D" w:rsidRPr="00EC479D" w:rsidRDefault="00EC479D" w:rsidP="00EC479D">
            <w:pPr>
              <w:jc w:val="center"/>
              <w:rPr>
                <w:rFonts w:eastAsia="Times New Roman" w:cs="Times New Roman"/>
                <w:color w:val="000000"/>
                <w:sz w:val="20"/>
                <w:szCs w:val="22"/>
                <w:lang w:val="en-US"/>
              </w:rPr>
            </w:pPr>
            <w:r w:rsidRPr="00EC479D">
              <w:rPr>
                <w:rFonts w:eastAsia="Times New Roman" w:cs="Times New Roman"/>
                <w:color w:val="000000"/>
                <w:sz w:val="20"/>
                <w:szCs w:val="22"/>
                <w:lang w:val="en-US"/>
              </w:rPr>
              <w:t>Pendapatan Transfer (Rp)</w:t>
            </w:r>
          </w:p>
        </w:tc>
      </w:tr>
      <w:tr w:rsidR="00EC479D" w:rsidRPr="00EC479D" w:rsidTr="00EC479D">
        <w:trPr>
          <w:trHeight w:val="352"/>
        </w:trPr>
        <w:tc>
          <w:tcPr>
            <w:tcW w:w="1701" w:type="dxa"/>
            <w:tcBorders>
              <w:top w:val="nil"/>
              <w:left w:val="nil"/>
              <w:bottom w:val="single" w:sz="4" w:space="0" w:color="auto"/>
              <w:right w:val="nil"/>
            </w:tcBorders>
            <w:noWrap/>
            <w:vAlign w:val="center"/>
            <w:hideMark/>
          </w:tcPr>
          <w:p w:rsidR="00EC479D" w:rsidRPr="00EC479D" w:rsidRDefault="00EC479D" w:rsidP="00EC479D">
            <w:pPr>
              <w:rPr>
                <w:rFonts w:eastAsia="Times New Roman" w:cs="Times New Roman"/>
                <w:color w:val="000000"/>
                <w:sz w:val="20"/>
                <w:szCs w:val="22"/>
                <w:lang w:val="en-US"/>
              </w:rPr>
            </w:pPr>
            <w:r w:rsidRPr="00EC479D">
              <w:rPr>
                <w:rFonts w:eastAsia="Times New Roman" w:cs="Times New Roman"/>
                <w:color w:val="000000"/>
                <w:sz w:val="20"/>
                <w:szCs w:val="22"/>
                <w:lang w:val="en-US"/>
              </w:rPr>
              <w:t>Kab Kebumen</w:t>
            </w:r>
          </w:p>
        </w:tc>
        <w:tc>
          <w:tcPr>
            <w:tcW w:w="1566" w:type="dxa"/>
            <w:tcBorders>
              <w:top w:val="nil"/>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484.291.013.938 </w:t>
            </w:r>
          </w:p>
        </w:tc>
        <w:tc>
          <w:tcPr>
            <w:tcW w:w="1716" w:type="dxa"/>
            <w:tcBorders>
              <w:top w:val="nil"/>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2.634.840.256.696 </w:t>
            </w:r>
          </w:p>
        </w:tc>
      </w:tr>
      <w:tr w:rsidR="00EC479D" w:rsidRPr="00EC479D" w:rsidTr="00EC479D">
        <w:trPr>
          <w:trHeight w:val="352"/>
        </w:trPr>
        <w:tc>
          <w:tcPr>
            <w:tcW w:w="1701" w:type="dxa"/>
            <w:tcBorders>
              <w:top w:val="single" w:sz="4" w:space="0" w:color="auto"/>
              <w:left w:val="nil"/>
              <w:bottom w:val="single" w:sz="4" w:space="0" w:color="auto"/>
              <w:right w:val="nil"/>
            </w:tcBorders>
            <w:noWrap/>
            <w:vAlign w:val="center"/>
            <w:hideMark/>
          </w:tcPr>
          <w:p w:rsidR="00EC479D" w:rsidRPr="00EC479D" w:rsidRDefault="00EC479D" w:rsidP="00EC479D">
            <w:pPr>
              <w:rPr>
                <w:rFonts w:eastAsia="Times New Roman" w:cs="Times New Roman"/>
                <w:color w:val="000000"/>
                <w:sz w:val="20"/>
                <w:szCs w:val="22"/>
                <w:lang w:val="en-US"/>
              </w:rPr>
            </w:pPr>
            <w:r w:rsidRPr="00EC479D">
              <w:rPr>
                <w:rFonts w:eastAsia="Times New Roman" w:cs="Times New Roman"/>
                <w:color w:val="000000"/>
                <w:sz w:val="20"/>
                <w:szCs w:val="22"/>
                <w:lang w:val="en-US"/>
              </w:rPr>
              <w:t>Kab Temanggung</w:t>
            </w:r>
          </w:p>
        </w:tc>
        <w:tc>
          <w:tcPr>
            <w:tcW w:w="156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388.858.102.726 </w:t>
            </w:r>
          </w:p>
        </w:tc>
        <w:tc>
          <w:tcPr>
            <w:tcW w:w="171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1.710.621.753.062 </w:t>
            </w:r>
          </w:p>
        </w:tc>
      </w:tr>
      <w:tr w:rsidR="00EC479D" w:rsidRPr="00EC479D" w:rsidTr="00EC479D">
        <w:trPr>
          <w:trHeight w:val="352"/>
        </w:trPr>
        <w:tc>
          <w:tcPr>
            <w:tcW w:w="1701" w:type="dxa"/>
            <w:tcBorders>
              <w:top w:val="single" w:sz="4" w:space="0" w:color="auto"/>
              <w:left w:val="nil"/>
              <w:bottom w:val="single" w:sz="4" w:space="0" w:color="auto"/>
              <w:right w:val="nil"/>
            </w:tcBorders>
            <w:noWrap/>
            <w:vAlign w:val="center"/>
            <w:hideMark/>
          </w:tcPr>
          <w:p w:rsidR="00EC479D" w:rsidRPr="00EC479D" w:rsidRDefault="00EC479D" w:rsidP="00EC479D">
            <w:pPr>
              <w:rPr>
                <w:rFonts w:eastAsia="Times New Roman" w:cs="Times New Roman"/>
                <w:color w:val="000000"/>
                <w:sz w:val="20"/>
                <w:szCs w:val="22"/>
                <w:lang w:val="en-US"/>
              </w:rPr>
            </w:pPr>
            <w:r w:rsidRPr="00EC479D">
              <w:rPr>
                <w:rFonts w:eastAsia="Times New Roman" w:cs="Times New Roman"/>
                <w:color w:val="000000"/>
                <w:sz w:val="20"/>
                <w:szCs w:val="22"/>
                <w:lang w:val="en-US"/>
              </w:rPr>
              <w:t>Kab Purworejo</w:t>
            </w:r>
          </w:p>
        </w:tc>
        <w:tc>
          <w:tcPr>
            <w:tcW w:w="156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448.851.158.304 </w:t>
            </w:r>
          </w:p>
        </w:tc>
        <w:tc>
          <w:tcPr>
            <w:tcW w:w="171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1.958.558.013.367 </w:t>
            </w:r>
          </w:p>
        </w:tc>
      </w:tr>
      <w:tr w:rsidR="00EC479D" w:rsidRPr="00EC479D" w:rsidTr="00EC479D">
        <w:trPr>
          <w:trHeight w:val="352"/>
        </w:trPr>
        <w:tc>
          <w:tcPr>
            <w:tcW w:w="1701" w:type="dxa"/>
            <w:tcBorders>
              <w:top w:val="single" w:sz="4" w:space="0" w:color="auto"/>
              <w:left w:val="nil"/>
              <w:bottom w:val="single" w:sz="4" w:space="0" w:color="auto"/>
              <w:right w:val="nil"/>
            </w:tcBorders>
            <w:noWrap/>
            <w:vAlign w:val="center"/>
            <w:hideMark/>
          </w:tcPr>
          <w:p w:rsidR="00EC479D" w:rsidRPr="00EC479D" w:rsidRDefault="00EC479D" w:rsidP="00EC479D">
            <w:pPr>
              <w:rPr>
                <w:rFonts w:eastAsia="Times New Roman" w:cs="Times New Roman"/>
                <w:color w:val="000000"/>
                <w:sz w:val="20"/>
                <w:szCs w:val="22"/>
                <w:lang w:val="en-US"/>
              </w:rPr>
            </w:pPr>
            <w:r w:rsidRPr="00EC479D">
              <w:rPr>
                <w:rFonts w:eastAsia="Times New Roman" w:cs="Times New Roman"/>
                <w:color w:val="000000"/>
                <w:sz w:val="20"/>
                <w:szCs w:val="22"/>
                <w:lang w:val="en-US"/>
              </w:rPr>
              <w:t>Kab Wonosobo</w:t>
            </w:r>
          </w:p>
        </w:tc>
        <w:tc>
          <w:tcPr>
            <w:tcW w:w="156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307.369.375.961 </w:t>
            </w:r>
          </w:p>
        </w:tc>
        <w:tc>
          <w:tcPr>
            <w:tcW w:w="171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1.787.558.656.978 </w:t>
            </w:r>
          </w:p>
        </w:tc>
      </w:tr>
      <w:tr w:rsidR="00EC479D" w:rsidRPr="00EC479D" w:rsidTr="00EC479D">
        <w:trPr>
          <w:trHeight w:val="352"/>
        </w:trPr>
        <w:tc>
          <w:tcPr>
            <w:tcW w:w="1701" w:type="dxa"/>
            <w:tcBorders>
              <w:top w:val="single" w:sz="4" w:space="0" w:color="auto"/>
              <w:left w:val="nil"/>
              <w:bottom w:val="single" w:sz="4" w:space="0" w:color="auto"/>
              <w:right w:val="nil"/>
            </w:tcBorders>
            <w:noWrap/>
            <w:vAlign w:val="center"/>
            <w:hideMark/>
          </w:tcPr>
          <w:p w:rsidR="00EC479D" w:rsidRPr="00EC479D" w:rsidRDefault="00EC479D" w:rsidP="00EC479D">
            <w:pPr>
              <w:rPr>
                <w:rFonts w:eastAsia="Times New Roman" w:cs="Times New Roman"/>
                <w:color w:val="000000"/>
                <w:sz w:val="20"/>
                <w:szCs w:val="22"/>
                <w:lang w:val="en-US"/>
              </w:rPr>
            </w:pPr>
            <w:r w:rsidRPr="00EC479D">
              <w:rPr>
                <w:rFonts w:eastAsia="Times New Roman" w:cs="Times New Roman"/>
                <w:color w:val="000000"/>
                <w:sz w:val="20"/>
                <w:szCs w:val="22"/>
                <w:lang w:val="en-US"/>
              </w:rPr>
              <w:t>Kab Magelang</w:t>
            </w:r>
          </w:p>
        </w:tc>
        <w:tc>
          <w:tcPr>
            <w:tcW w:w="156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520.847.740.395 </w:t>
            </w:r>
          </w:p>
        </w:tc>
        <w:tc>
          <w:tcPr>
            <w:tcW w:w="171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2.249.187.553.796 </w:t>
            </w:r>
          </w:p>
        </w:tc>
      </w:tr>
      <w:tr w:rsidR="00EC479D" w:rsidRPr="00EC479D" w:rsidTr="00EC479D">
        <w:trPr>
          <w:trHeight w:val="352"/>
        </w:trPr>
        <w:tc>
          <w:tcPr>
            <w:tcW w:w="1701" w:type="dxa"/>
            <w:tcBorders>
              <w:top w:val="single" w:sz="4" w:space="0" w:color="auto"/>
              <w:left w:val="nil"/>
              <w:bottom w:val="single" w:sz="4" w:space="0" w:color="auto"/>
              <w:right w:val="nil"/>
            </w:tcBorders>
            <w:noWrap/>
            <w:vAlign w:val="center"/>
            <w:hideMark/>
          </w:tcPr>
          <w:p w:rsidR="00EC479D" w:rsidRPr="00EC479D" w:rsidRDefault="00EC479D" w:rsidP="00EC479D">
            <w:pPr>
              <w:rPr>
                <w:rFonts w:eastAsia="Times New Roman" w:cs="Times New Roman"/>
                <w:color w:val="000000"/>
                <w:sz w:val="20"/>
                <w:szCs w:val="22"/>
                <w:lang w:val="en-US"/>
              </w:rPr>
            </w:pPr>
            <w:r w:rsidRPr="00EC479D">
              <w:rPr>
                <w:rFonts w:eastAsia="Times New Roman" w:cs="Times New Roman"/>
                <w:color w:val="000000"/>
                <w:sz w:val="20"/>
                <w:szCs w:val="22"/>
                <w:lang w:val="en-US"/>
              </w:rPr>
              <w:t>Kota Magelang</w:t>
            </w:r>
          </w:p>
        </w:tc>
        <w:tc>
          <w:tcPr>
            <w:tcW w:w="156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348.971.932.087 </w:t>
            </w:r>
          </w:p>
        </w:tc>
        <w:tc>
          <w:tcPr>
            <w:tcW w:w="1716" w:type="dxa"/>
            <w:tcBorders>
              <w:top w:val="single" w:sz="4" w:space="0" w:color="auto"/>
              <w:left w:val="nil"/>
              <w:bottom w:val="single" w:sz="4" w:space="0" w:color="auto"/>
              <w:right w:val="nil"/>
            </w:tcBorders>
            <w:noWrap/>
            <w:vAlign w:val="center"/>
            <w:hideMark/>
          </w:tcPr>
          <w:p w:rsidR="00EC479D" w:rsidRPr="00EC479D" w:rsidRDefault="00EC479D" w:rsidP="00EC479D">
            <w:pPr>
              <w:jc w:val="right"/>
              <w:rPr>
                <w:rFonts w:eastAsia="Times New Roman" w:cs="Times New Roman"/>
                <w:color w:val="000000"/>
                <w:sz w:val="20"/>
                <w:szCs w:val="22"/>
                <w:lang w:val="en-US"/>
              </w:rPr>
            </w:pPr>
            <w:r w:rsidRPr="00EC479D">
              <w:rPr>
                <w:rFonts w:eastAsia="Times New Roman" w:cs="Times New Roman"/>
                <w:color w:val="000000"/>
                <w:sz w:val="20"/>
                <w:szCs w:val="22"/>
                <w:lang w:val="en-US"/>
              </w:rPr>
              <w:t xml:space="preserve">663.233.203.738 </w:t>
            </w:r>
          </w:p>
        </w:tc>
      </w:tr>
    </w:tbl>
    <w:p w:rsidR="001513E0" w:rsidRPr="00EC479D" w:rsidRDefault="001513E0" w:rsidP="001513E0">
      <w:pPr>
        <w:pStyle w:val="JAK22aBODYARTIKEL"/>
        <w:ind w:firstLine="426"/>
        <w:rPr>
          <w:sz w:val="20"/>
        </w:rPr>
      </w:pPr>
    </w:p>
    <w:p w:rsidR="001513E0" w:rsidRPr="00EC479D" w:rsidRDefault="00EC479D" w:rsidP="00EC479D">
      <w:pPr>
        <w:pStyle w:val="JAK22aBODYARTIKEL"/>
        <w:rPr>
          <w:sz w:val="20"/>
        </w:rPr>
      </w:pPr>
      <w:r w:rsidRPr="00EC479D">
        <w:rPr>
          <w:sz w:val="20"/>
        </w:rPr>
        <w:t>Sumber: Laporan Pertanggungjawaban Pelaksanaan APBD Tahun Anggaran 2024</w:t>
      </w:r>
    </w:p>
    <w:p w:rsidR="00EC479D" w:rsidRPr="00EC479D" w:rsidRDefault="00EC479D" w:rsidP="001513E0">
      <w:pPr>
        <w:pStyle w:val="JAK22aBODYARTIKEL"/>
        <w:ind w:firstLine="426"/>
        <w:rPr>
          <w:sz w:val="20"/>
        </w:rPr>
      </w:pPr>
    </w:p>
    <w:p w:rsidR="00EC479D" w:rsidRDefault="00EC479D" w:rsidP="00EC479D">
      <w:pPr>
        <w:pStyle w:val="JAK22aBODYARTIKEL"/>
        <w:ind w:firstLine="426"/>
      </w:pPr>
      <w:r>
        <w:t xml:space="preserve">Tabel 1 di atas menyajikan perbandingan sumber pendapatan di kabupaten dan kota se-Karesidenan Kedu Provinsi Jawa Tengah. Dari data tersebut terlihat bahwa kabupaten/kota di Karesidenan Kedu Provinsi Jawa Tengah masih sangat bergantung pada dana transfer dari pemerintah pusat, sementara kontribusi PAD masih relatif kecil. </w:t>
      </w:r>
    </w:p>
    <w:p w:rsidR="00EC479D" w:rsidRDefault="00EC479D" w:rsidP="00EC479D">
      <w:pPr>
        <w:pStyle w:val="JAK22aBODYARTIKEL"/>
        <w:ind w:firstLine="426"/>
      </w:pPr>
      <w:r>
        <w:t>Dari seluruh daerah di atas, Kabupaten Wonosobo memiliki Rasio Kemandirian Keuangan Daerah yang paling rendah. Artinya, meskipun daerah lain juga masih bergantung pada pendapatan transfer, tingkat ketergantungan Kabupaten Wonosobo jauh lebih besar. Sebaliknya, sejumlah daerah lain di Karesidenan Kedu berhasil menempatkan PAD dengan rasio yang lebih besar. Walaupun daerah tersebut tetap mengandalkan pendapatan transfer, ruang fiskal yang dimiliki lebih kuat karena ada sumber PAD yang dapat diandalkan.</w:t>
      </w:r>
    </w:p>
    <w:p w:rsidR="00EC479D" w:rsidRDefault="00EC479D" w:rsidP="00EC479D">
      <w:pPr>
        <w:pStyle w:val="JAK22aBODYARTIKEL"/>
        <w:ind w:firstLine="426"/>
      </w:pPr>
      <w:r>
        <w:t xml:space="preserve">Dengan memperhatikan fenomena dan permasalahan yang terjadi di daerah tersebut, penelitian ini bertujuan untuk memeriksa tingkat kemandirian keuangan Kabupaten Wonosobo serta pertumbuhan ekonominya selama periode Tahun </w:t>
      </w:r>
      <w:r>
        <w:lastRenderedPageBreak/>
        <w:t>Anggaran 2020-2024. Selain itu, penelitian ini juga bermaksud untuk mengidentifikasi berbagai kendala yang menghambat pencapaian kemandirian fiskal, serta mengkaji sejauh mana strategi dan upaya yang telah atau dapat ditempuh oleh pemerintah daerah dalam mengatasi permasalahan tersebut.</w:t>
      </w:r>
    </w:p>
    <w:p w:rsidR="00EC479D" w:rsidRDefault="00EC479D" w:rsidP="00EC479D">
      <w:pPr>
        <w:pStyle w:val="JAK22aBODYARTIKEL"/>
        <w:ind w:firstLine="426"/>
      </w:pPr>
      <w:r>
        <w:t>Sejalan dengan itu, penelitian ini secara spesifik diarahkan untuk menjawab pertanyaan-pertanyaan berikut:</w:t>
      </w:r>
    </w:p>
    <w:p w:rsidR="00EC479D" w:rsidRDefault="00EC479D" w:rsidP="00EC479D">
      <w:pPr>
        <w:pStyle w:val="JAK22aBODYARTIKEL"/>
        <w:numPr>
          <w:ilvl w:val="0"/>
          <w:numId w:val="1"/>
        </w:numPr>
        <w:ind w:left="284" w:hanging="284"/>
      </w:pPr>
      <w:r>
        <w:t>Bagaimana tingkat kemandirian keuangan Pemerintah Daerah Kabupaten Wonosobo selama Tahun Anggaran 2020-2024?</w:t>
      </w:r>
    </w:p>
    <w:p w:rsidR="00EC479D" w:rsidRDefault="00EC479D" w:rsidP="00EC479D">
      <w:pPr>
        <w:pStyle w:val="JAK22aBODYARTIKEL"/>
        <w:numPr>
          <w:ilvl w:val="0"/>
          <w:numId w:val="1"/>
        </w:numPr>
        <w:ind w:left="284" w:hanging="284"/>
      </w:pPr>
      <w:r>
        <w:t>Bagaimana pertumbuhan ekonomi daerah jika ditinjau dari kinerja keuangan daerah?</w:t>
      </w:r>
    </w:p>
    <w:p w:rsidR="00EC479D" w:rsidRDefault="00EC479D" w:rsidP="00EC479D">
      <w:pPr>
        <w:pStyle w:val="JAK22aBODYARTIKEL"/>
        <w:numPr>
          <w:ilvl w:val="0"/>
          <w:numId w:val="1"/>
        </w:numPr>
        <w:ind w:left="284" w:hanging="284"/>
      </w:pPr>
      <w:r>
        <w:t>Faktor apa saja yang menjadi kendala terhadap peningkatan kemandirian keuangan dan pertumbuhan ekonomi daerah?</w:t>
      </w:r>
    </w:p>
    <w:p w:rsidR="00EC479D" w:rsidRDefault="00EC479D" w:rsidP="00EC479D">
      <w:pPr>
        <w:pStyle w:val="JAK22aBODYARTIKEL"/>
        <w:numPr>
          <w:ilvl w:val="0"/>
          <w:numId w:val="1"/>
        </w:numPr>
        <w:ind w:left="284" w:hanging="284"/>
      </w:pPr>
      <w:r>
        <w:t>Upaya apa yang telah dilakukan Pemerintah Daerah Kabupaten Wonosobo untuk mengatasi kendala-kendala tersebut?</w:t>
      </w:r>
    </w:p>
    <w:p w:rsidR="00EC479D" w:rsidRDefault="00EC479D" w:rsidP="00EC479D">
      <w:pPr>
        <w:pStyle w:val="JAK22aBODYARTIKEL"/>
        <w:ind w:left="284"/>
      </w:pPr>
    </w:p>
    <w:p w:rsidR="00CE566F" w:rsidRDefault="00CE566F" w:rsidP="00EC479D">
      <w:pPr>
        <w:pStyle w:val="JAK21HEADINGPENDAHULUANdll"/>
        <w:spacing w:before="0"/>
      </w:pPr>
      <w:r>
        <w:t>METODE PENELITIAN</w:t>
      </w:r>
    </w:p>
    <w:p w:rsidR="00AA40F5" w:rsidRDefault="00EC479D" w:rsidP="00F74C19">
      <w:pPr>
        <w:pStyle w:val="JAK22aBODYARTIKEL"/>
        <w:ind w:firstLine="426"/>
      </w:pPr>
      <w:r w:rsidRPr="00EC479D">
        <w:t>Penelitian ini menggunakan pendekatan kualitatif dengan metode deskriptif untuk memberikan gambaran mengenai tingkat kemandirian keuangan daerah serta pertumbuhan ekonomi Pemerintah Kabupaten Wonosobo selama periode 20</w:t>
      </w:r>
      <w:r w:rsidR="00A74242">
        <w:t>20-</w:t>
      </w:r>
      <w:r w:rsidRPr="00EC479D">
        <w:t>2024</w:t>
      </w:r>
      <w:r w:rsidR="00A74242">
        <w:t xml:space="preserve"> </w:t>
      </w:r>
      <w:r w:rsidR="00A74242">
        <w:fldChar w:fldCharType="begin" w:fldLock="1"/>
      </w:r>
      <w:r w:rsidR="00A74242">
        <w:instrText>ADDIN CSL_CITATION {"citationItems":[{"id":"ITEM-1","itemData":{"DOI":"10.29303/jipp.v10i1.3057","ISSN":"2502-7069","abstract":"Metode penelitian kuantitatif memainkan peran penting dalam penelitian ilmiah, terutama dalam menghasilkan data yang objektif dan dapat diukur. Metode ini banyak digunakan untuk menjawab pertanyaan penelitian yang memerlukan analisis berbasis angka dan statistik. Penulisan artikel ini bertujuan untuk mengkaji konsep dasar, jenis-jenis, tahapan, dan kelebihan metode penelitian kuantitatif. Penulisan artikel dilakukan melalui pendekatan studi literatur dengan mengumpulkan data dari berbagai dokumen, jurnal ilmiah, buku dan literatur. Teknik pengumpulan data yang digunakan adalah studi dokumentasi, sedangkan analisis data dilakukan menggunakan analisis literatur untuk mengidentifikasi, mengevaluasi, dan mensintesis temuan-temuan utama tentang metode penelitian kuantitatif. Hasil kajian diharapkan dapat memberikan pemahaman mendalam tentang metode penelitian kuantitatif dan menjadi salah satu referensi teoritis dalam memilih dan menerapkan metode penelitian kuantitatif.","author":[{"dropping-particle":"","family":"Waruwu","given":"Marinu","non-dropping-particle":"","parse-names":false,"suffix":""},{"dropping-particle":"","family":"Pu`at","given":"Siti Natijatul","non-dropping-particle":"","parse-names":false,"suffix":""},{"dropping-particle":"","family":"Utami","given":"Patrisia Rahayu","non-dropping-particle":"","parse-names":false,"suffix":""},{"dropping-particle":"","family":"Yanti","given":"Elli","non-dropping-particle":"","parse-names":false,"suffix":""},{"dropping-particle":"","family":"Rusydiana","given":"Marwah","non-dropping-particle":"","parse-names":false,"suffix":""}],"container-title":"Jurnal Ilmiah Profesi Pendidikan","id":"ITEM-1","issue":"1","issued":{"date-parts":[["2025"]]},"page":"917-932","title":"Metode Penelitian Kuantitatif: Konsep, Jenis, Tahapan dan Kelebihan","type":"article-journal","volume":"10"},"uris":["http://www.mendeley.com/documents/?uuid=5494e763-12b2-4103-bcd1-ec3181549e20"]}],"mendeley":{"formattedCitation":"(Waruwu et al., 2025)","plainTextFormattedCitation":"(Waruwu et al., 2025)","previouslyFormattedCitation":"(Waruwu et al., 2025)"},"properties":{"noteIndex":0},"schema":"https://github.com/citation-style-language/schema/raw/master/csl-citation.json"}</w:instrText>
      </w:r>
      <w:r w:rsidR="00A74242">
        <w:fldChar w:fldCharType="separate"/>
      </w:r>
      <w:r w:rsidR="00A74242" w:rsidRPr="00A74242">
        <w:rPr>
          <w:noProof/>
        </w:rPr>
        <w:t>(Waruwu et al., 2025)</w:t>
      </w:r>
      <w:r w:rsidR="00A74242">
        <w:fldChar w:fldCharType="end"/>
      </w:r>
      <w:r w:rsidRPr="00EC479D">
        <w:t>. Objek penelitian difokuskan pada dua aspek utama, yaitu kemandirian keuangan daerah dan pertumbuhan ekonomi daerah, dengan rentang waktu analisis mencakup tahun 2020 hingga 2024.</w:t>
      </w:r>
    </w:p>
    <w:p w:rsidR="00EC479D" w:rsidRPr="00816EDB" w:rsidRDefault="00EC479D" w:rsidP="00816EDB">
      <w:pPr>
        <w:pStyle w:val="JAK22aBODYARTIKEL"/>
        <w:rPr>
          <w:b/>
        </w:rPr>
      </w:pPr>
      <w:r w:rsidRPr="00816EDB">
        <w:rPr>
          <w:b/>
        </w:rPr>
        <w:t>Metode Pengumpulan Data</w:t>
      </w:r>
    </w:p>
    <w:p w:rsidR="00EC479D" w:rsidRDefault="00570D64" w:rsidP="00816EDB">
      <w:pPr>
        <w:pStyle w:val="JAK22aBODYARTIKEL"/>
        <w:ind w:firstLine="425"/>
      </w:pPr>
      <w:r w:rsidRPr="00570D64">
        <w:t xml:space="preserve">Sumber data dalam penelitian ini terdiri atas data primer dan data sekunder. Data primer diperoleh melalui wawancara dengan pihak Badan Pengelolaan Keuangan dan Aset Daerah (BPPKAD) Kabupaten Wonosobo guna memperoleh informasi langsung terkait pengelolaan keuangan daerah. Adapun data sekunder diperoleh </w:t>
      </w:r>
      <w:r w:rsidRPr="00570D64">
        <w:lastRenderedPageBreak/>
        <w:t>dari dokumen Laporan Keuangan Pemerintah Daerah, khususnya Laporan Realisasi Anggaran (LRA) tahun 2020–2024 yang dikeluarkan oleh BPPKAD Kabupaten Wonosobo serta BPS Kabupaten Wonosobo Dalam Angka.</w:t>
      </w:r>
    </w:p>
    <w:p w:rsidR="00EC479D" w:rsidRPr="00816EDB" w:rsidRDefault="00EC479D" w:rsidP="00816EDB">
      <w:pPr>
        <w:pStyle w:val="JAK22aBODYARTIKEL"/>
        <w:rPr>
          <w:b/>
        </w:rPr>
      </w:pPr>
      <w:r w:rsidRPr="00816EDB">
        <w:rPr>
          <w:b/>
        </w:rPr>
        <w:t>Teknik Analisis</w:t>
      </w:r>
    </w:p>
    <w:p w:rsidR="00570D64" w:rsidRDefault="00570D64" w:rsidP="00816EDB">
      <w:pPr>
        <w:pStyle w:val="JAK22aBODYARTIKEL"/>
        <w:ind w:firstLine="425"/>
      </w:pPr>
      <w:r>
        <w:t xml:space="preserve">Teknik analisis yang digunakan dalam penelitian ini meliputi analisis rasio kemandirian keuangan daerah serta analisis pertumbuhan ekonomi daerah melalui pendekatan </w:t>
      </w:r>
      <w:r w:rsidRPr="00F87E8A">
        <w:rPr>
          <w:i/>
        </w:rPr>
        <w:t>share</w:t>
      </w:r>
      <w:r>
        <w:t xml:space="preserve">, </w:t>
      </w:r>
      <w:r w:rsidRPr="00F87E8A">
        <w:rPr>
          <w:i/>
        </w:rPr>
        <w:t>growth</w:t>
      </w:r>
      <w:r>
        <w:t xml:space="preserve">, dan </w:t>
      </w:r>
      <w:r w:rsidRPr="00F87E8A">
        <w:rPr>
          <w:i/>
        </w:rPr>
        <w:t>elasticity</w:t>
      </w:r>
      <w:r w:rsidR="00A74242">
        <w:t xml:space="preserve"> </w:t>
      </w:r>
      <w:r w:rsidR="00A74242">
        <w:fldChar w:fldCharType="begin" w:fldLock="1"/>
      </w:r>
      <w:r w:rsidR="00A74242">
        <w:instrText>ADDIN CSL_CITATION {"citationItems":[{"id":"ITEM-1","itemData":{"DOI":"10.31092/jmkp.v7i1.2118","abstract":"This study aims to analyze the independence of regencies/cities in South Sulawesi Province and prospects for their economic development using a quantitative approach with share, growth, elasticity, quadrant, and Financial Capability Index (IKK) analysis methods. The results of the study show: (1) the average share value of districts/cities in South Sulawesi Province during the 2017-2021 period describes that they are not fully independent in terms of sources and allocation of regional budgets; (2) in general, the average growth rate for districts/cities in South Sulawesi Province during the 2017-2021 period show that they have good prospects and expectations for economic growth; (3) based on the quadrant mapping results, Makassar City and East Luwu Regency are in Quadrant I. In Quadrant II, there are Bantaeng, Soppeng, Gowa, Maros, Sidenreng Rappang, Enrekang, Luwu, Bulukumba, Pare-pare, Pinrang, Selayar Islands Regencies, North Toraja, Takalar, Barru, Jeneponto, and Sinjai, where almost all of them are natural resource producing areas. Furthermore, there are no districts/cities that are included in Quadrant III. In Quadrant IV, several regencies such as Bone, Palopo, Pangkajene Islands, Tana Toraja, Wajo, and North Luwu fall into this category; (4) the classification of the financial capability index resulting from the share, growth, and elasticity index values, which is equal to 0.48, is in the high category. In the pattern of regional financial capacity relations, most districts/cities in South Sulawesi Province have a consultative relationship pattern, thus the central government's interference has begun to decrease and the regions are considered capable of implementing regional autonomy.","author":[{"dropping-particle":"","family":"Azwar","given":"Azwar","non-dropping-particle":"","parse-names":false,"suffix":""}],"container-title":"Jurnal Manajemen Keuangan Publik","id":"ITEM-1","issue":"1","issued":{"date-parts":[["2023"]]},"page":"1-25","title":"Analisis Kemandirian Keuangan Daerah dan Potensi Pertumbuhan Kabupaten/Kota di Sulawesi Selatan Tahun 2017-2021","type":"article-journal","volume":"7"},"uris":["http://www.mendeley.com/documents/?uuid=d83ec1ae-5fd0-4665-8222-e34b8016a59c"]}],"mendeley":{"formattedCitation":"(Azwar, 2023)","plainTextFormattedCitation":"(Azwar, 2023)","previouslyFormattedCitation":"(Azwar, 2023)"},"properties":{"noteIndex":0},"schema":"https://github.com/citation-style-language/schema/raw/master/csl-citation.json"}</w:instrText>
      </w:r>
      <w:r w:rsidR="00A74242">
        <w:fldChar w:fldCharType="separate"/>
      </w:r>
      <w:r w:rsidR="00A74242" w:rsidRPr="00A74242">
        <w:rPr>
          <w:noProof/>
        </w:rPr>
        <w:t>(Azwar, 2023)</w:t>
      </w:r>
      <w:r w:rsidR="00A74242">
        <w:fldChar w:fldCharType="end"/>
      </w:r>
      <w:r>
        <w:t>. Kedua metode tersebut digunakan untuk menilai tingkat kemandirian fiskal daerah sekaligus menggambarkan pertumbuhan ekonomi Pemerintah Daerah Kabupaten Wonosobo selama periode penelitian.</w:t>
      </w:r>
    </w:p>
    <w:p w:rsidR="00570D64" w:rsidRDefault="00570D64" w:rsidP="00816EDB">
      <w:pPr>
        <w:pStyle w:val="JAK22aBODYARTIKEL"/>
        <w:jc w:val="center"/>
      </w:pPr>
      <w:r>
        <w:t>Tabel 2. Rumus Rasio Kemandirian Keuangan Daerah dan Pertumbuhan Ekonomi Daerah</w:t>
      </w:r>
    </w:p>
    <w:tbl>
      <w:tblPr>
        <w:tblW w:w="4724" w:type="dxa"/>
        <w:tblLook w:val="04A0" w:firstRow="1" w:lastRow="0" w:firstColumn="1" w:lastColumn="0" w:noHBand="0" w:noVBand="1"/>
      </w:tblPr>
      <w:tblGrid>
        <w:gridCol w:w="568"/>
        <w:gridCol w:w="1494"/>
        <w:gridCol w:w="1832"/>
        <w:gridCol w:w="832"/>
      </w:tblGrid>
      <w:tr w:rsidR="00570D64" w:rsidRPr="00570D64" w:rsidTr="00816EDB">
        <w:trPr>
          <w:trHeight w:val="355"/>
        </w:trPr>
        <w:tc>
          <w:tcPr>
            <w:tcW w:w="568" w:type="dxa"/>
            <w:tcBorders>
              <w:top w:val="single" w:sz="4" w:space="0" w:color="auto"/>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eastAsia="id-ID"/>
              </w:rPr>
            </w:pPr>
            <w:r w:rsidRPr="00570D64">
              <w:rPr>
                <w:rFonts w:eastAsia="Times New Roman" w:cs="Times New Roman"/>
                <w:color w:val="000000"/>
                <w:sz w:val="20"/>
                <w:szCs w:val="20"/>
                <w:lang w:val="id-ID"/>
              </w:rPr>
              <w:t>No.</w:t>
            </w:r>
          </w:p>
        </w:tc>
        <w:tc>
          <w:tcPr>
            <w:tcW w:w="1492" w:type="dxa"/>
            <w:tcBorders>
              <w:top w:val="single" w:sz="4" w:space="0" w:color="auto"/>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Rasio</w:t>
            </w:r>
          </w:p>
        </w:tc>
        <w:tc>
          <w:tcPr>
            <w:tcW w:w="2664" w:type="dxa"/>
            <w:gridSpan w:val="2"/>
            <w:tcBorders>
              <w:top w:val="single" w:sz="4" w:space="0" w:color="auto"/>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Rumus</w:t>
            </w:r>
          </w:p>
        </w:tc>
      </w:tr>
      <w:tr w:rsidR="00570D64" w:rsidRPr="00570D64" w:rsidTr="00816EDB">
        <w:trPr>
          <w:trHeight w:val="355"/>
        </w:trPr>
        <w:tc>
          <w:tcPr>
            <w:tcW w:w="4724" w:type="dxa"/>
            <w:gridSpan w:val="4"/>
            <w:tcBorders>
              <w:top w:val="single" w:sz="4" w:space="0" w:color="auto"/>
              <w:left w:val="nil"/>
              <w:bottom w:val="nil"/>
              <w:right w:val="nil"/>
            </w:tcBorders>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Kemandirian Keuangan Daerah</w:t>
            </w: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1.</w:t>
            </w:r>
          </w:p>
        </w:tc>
        <w:tc>
          <w:tcPr>
            <w:tcW w:w="1492" w:type="dxa"/>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Kemandirian Keuangan</w:t>
            </w:r>
          </w:p>
        </w:tc>
        <w:tc>
          <w:tcPr>
            <w:tcW w:w="1832"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PAD</w:t>
            </w:r>
          </w:p>
        </w:tc>
        <w:tc>
          <w:tcPr>
            <w:tcW w:w="831" w:type="dxa"/>
            <w:vMerge w:val="restart"/>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noWrap/>
            <w:vAlign w:val="center"/>
            <w:hideMark/>
          </w:tcPr>
          <w:p w:rsidR="00570D64" w:rsidRPr="00570D64" w:rsidRDefault="00570D64" w:rsidP="00570D64">
            <w:pPr>
              <w:spacing w:after="200" w:line="276" w:lineRule="auto"/>
              <w:rPr>
                <w:rFonts w:eastAsia="Times New Roman" w:cs="Times New Roman"/>
                <w:color w:val="000000"/>
                <w:sz w:val="20"/>
                <w:szCs w:val="20"/>
                <w:lang w:val="id-ID"/>
              </w:rPr>
            </w:pPr>
          </w:p>
        </w:tc>
        <w:tc>
          <w:tcPr>
            <w:tcW w:w="1492" w:type="dxa"/>
            <w:noWrap/>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Daerah</w:t>
            </w:r>
          </w:p>
        </w:tc>
        <w:tc>
          <w:tcPr>
            <w:tcW w:w="1832"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Pendapatan Transfer + Pinjaman Daerah</w:t>
            </w:r>
          </w:p>
        </w:tc>
        <w:tc>
          <w:tcPr>
            <w:tcW w:w="831" w:type="dxa"/>
            <w:vMerge/>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2.</w:t>
            </w:r>
          </w:p>
        </w:tc>
        <w:tc>
          <w:tcPr>
            <w:tcW w:w="1492" w:type="dxa"/>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Desentralisasi Fiskal</w:t>
            </w:r>
          </w:p>
        </w:tc>
        <w:tc>
          <w:tcPr>
            <w:tcW w:w="1832"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PAD</w:t>
            </w:r>
          </w:p>
        </w:tc>
        <w:tc>
          <w:tcPr>
            <w:tcW w:w="831" w:type="dxa"/>
            <w:vMerge w:val="restart"/>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noWrap/>
            <w:vAlign w:val="center"/>
            <w:hideMark/>
          </w:tcPr>
          <w:p w:rsidR="00570D64" w:rsidRPr="00570D64" w:rsidRDefault="00570D64" w:rsidP="00570D64">
            <w:pPr>
              <w:spacing w:after="200" w:line="276" w:lineRule="auto"/>
              <w:rPr>
                <w:rFonts w:eastAsia="Times New Roman" w:cs="Times New Roman"/>
                <w:color w:val="000000"/>
                <w:sz w:val="20"/>
                <w:szCs w:val="20"/>
                <w:lang w:val="id-ID"/>
              </w:rPr>
            </w:pPr>
          </w:p>
        </w:tc>
        <w:tc>
          <w:tcPr>
            <w:tcW w:w="1492" w:type="dxa"/>
            <w:noWrap/>
            <w:vAlign w:val="center"/>
            <w:hideMark/>
          </w:tcPr>
          <w:p w:rsidR="00570D64" w:rsidRPr="00570D64" w:rsidRDefault="00570D64" w:rsidP="00570D64">
            <w:pPr>
              <w:spacing w:line="276" w:lineRule="auto"/>
              <w:rPr>
                <w:rFonts w:ascii="Calibri" w:eastAsia="Calibri" w:hAnsi="Calibri" w:cs="Times New Roman"/>
                <w:sz w:val="20"/>
                <w:szCs w:val="20"/>
                <w:lang w:val="id-ID"/>
              </w:rPr>
            </w:pPr>
          </w:p>
        </w:tc>
        <w:tc>
          <w:tcPr>
            <w:tcW w:w="1832"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Total Pendapatan Daerah</w:t>
            </w:r>
          </w:p>
        </w:tc>
        <w:tc>
          <w:tcPr>
            <w:tcW w:w="831" w:type="dxa"/>
            <w:vMerge/>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3.</w:t>
            </w:r>
          </w:p>
        </w:tc>
        <w:tc>
          <w:tcPr>
            <w:tcW w:w="1492" w:type="dxa"/>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Efektivitas PAD</w:t>
            </w:r>
          </w:p>
        </w:tc>
        <w:tc>
          <w:tcPr>
            <w:tcW w:w="1832"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Realisasi PAD</w:t>
            </w:r>
          </w:p>
        </w:tc>
        <w:tc>
          <w:tcPr>
            <w:tcW w:w="831" w:type="dxa"/>
            <w:vMerge w:val="restart"/>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noWrap/>
            <w:vAlign w:val="center"/>
            <w:hideMark/>
          </w:tcPr>
          <w:p w:rsidR="00570D64" w:rsidRPr="00570D64" w:rsidRDefault="00570D64" w:rsidP="00570D64">
            <w:pPr>
              <w:spacing w:after="200" w:line="276" w:lineRule="auto"/>
              <w:rPr>
                <w:rFonts w:eastAsia="Times New Roman" w:cs="Times New Roman"/>
                <w:color w:val="000000"/>
                <w:sz w:val="20"/>
                <w:szCs w:val="20"/>
                <w:lang w:val="id-ID"/>
              </w:rPr>
            </w:pPr>
          </w:p>
        </w:tc>
        <w:tc>
          <w:tcPr>
            <w:tcW w:w="1492" w:type="dxa"/>
            <w:noWrap/>
            <w:vAlign w:val="center"/>
            <w:hideMark/>
          </w:tcPr>
          <w:p w:rsidR="00570D64" w:rsidRPr="00570D64" w:rsidRDefault="00570D64" w:rsidP="00570D64">
            <w:pPr>
              <w:spacing w:line="276" w:lineRule="auto"/>
              <w:rPr>
                <w:rFonts w:ascii="Calibri" w:eastAsia="Calibri" w:hAnsi="Calibri" w:cs="Times New Roman"/>
                <w:sz w:val="20"/>
                <w:szCs w:val="20"/>
                <w:lang w:val="id-ID"/>
              </w:rPr>
            </w:pPr>
          </w:p>
        </w:tc>
        <w:tc>
          <w:tcPr>
            <w:tcW w:w="1832"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Anggaran PAD</w:t>
            </w:r>
          </w:p>
        </w:tc>
        <w:tc>
          <w:tcPr>
            <w:tcW w:w="831" w:type="dxa"/>
            <w:vMerge/>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4.</w:t>
            </w:r>
          </w:p>
        </w:tc>
        <w:tc>
          <w:tcPr>
            <w:tcW w:w="1492" w:type="dxa"/>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Ketergantungan</w:t>
            </w:r>
          </w:p>
        </w:tc>
        <w:tc>
          <w:tcPr>
            <w:tcW w:w="1832"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Pendapatan Transfer</w:t>
            </w:r>
          </w:p>
        </w:tc>
        <w:tc>
          <w:tcPr>
            <w:tcW w:w="831" w:type="dxa"/>
            <w:vMerge w:val="restart"/>
            <w:tcBorders>
              <w:top w:val="nil"/>
              <w:left w:val="nil"/>
              <w:bottom w:val="single" w:sz="4" w:space="0" w:color="000000"/>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 </w:t>
            </w:r>
          </w:p>
        </w:tc>
        <w:tc>
          <w:tcPr>
            <w:tcW w:w="1492" w:type="dxa"/>
            <w:tcBorders>
              <w:top w:val="nil"/>
              <w:left w:val="nil"/>
              <w:bottom w:val="single" w:sz="4" w:space="0" w:color="auto"/>
              <w:right w:val="nil"/>
            </w:tcBorders>
            <w:noWrap/>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Keuangan Daerah</w:t>
            </w:r>
          </w:p>
        </w:tc>
        <w:tc>
          <w:tcPr>
            <w:tcW w:w="1832"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Total Pendapatan Daerah</w:t>
            </w:r>
          </w:p>
        </w:tc>
        <w:tc>
          <w:tcPr>
            <w:tcW w:w="831" w:type="dxa"/>
            <w:vMerge/>
            <w:tcBorders>
              <w:top w:val="nil"/>
              <w:left w:val="nil"/>
              <w:bottom w:val="single" w:sz="4" w:space="0" w:color="000000"/>
              <w:right w:val="nil"/>
            </w:tcBorders>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r w:rsidR="00570D64" w:rsidRPr="00570D64" w:rsidTr="00816EDB">
        <w:trPr>
          <w:trHeight w:val="355"/>
        </w:trPr>
        <w:tc>
          <w:tcPr>
            <w:tcW w:w="4724" w:type="dxa"/>
            <w:gridSpan w:val="4"/>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 xml:space="preserve">Pertumbuhan </w:t>
            </w:r>
            <w:r w:rsidRPr="00570D64">
              <w:rPr>
                <w:rFonts w:eastAsia="Times New Roman" w:cs="Times New Roman"/>
                <w:color w:val="000000"/>
                <w:sz w:val="20"/>
                <w:szCs w:val="20"/>
                <w:lang w:val="en-US"/>
              </w:rPr>
              <w:t>Ekonomi</w:t>
            </w:r>
            <w:r w:rsidRPr="00570D64">
              <w:rPr>
                <w:rFonts w:eastAsia="Times New Roman" w:cs="Times New Roman"/>
                <w:color w:val="000000"/>
                <w:sz w:val="20"/>
                <w:szCs w:val="20"/>
                <w:lang w:val="id-ID"/>
              </w:rPr>
              <w:t xml:space="preserve"> Daerah</w:t>
            </w: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1.</w:t>
            </w:r>
          </w:p>
        </w:tc>
        <w:tc>
          <w:tcPr>
            <w:tcW w:w="1492" w:type="dxa"/>
            <w:noWrap/>
            <w:vAlign w:val="center"/>
            <w:hideMark/>
          </w:tcPr>
          <w:p w:rsidR="00570D64" w:rsidRPr="00570D64" w:rsidRDefault="00570D64" w:rsidP="00570D64">
            <w:pPr>
              <w:rPr>
                <w:rFonts w:eastAsia="Times New Roman" w:cs="Times New Roman"/>
                <w:i/>
                <w:color w:val="000000"/>
                <w:sz w:val="20"/>
                <w:szCs w:val="20"/>
                <w:lang w:val="id-ID"/>
              </w:rPr>
            </w:pPr>
            <w:r w:rsidRPr="00570D64">
              <w:rPr>
                <w:rFonts w:eastAsia="Times New Roman" w:cs="Times New Roman"/>
                <w:i/>
                <w:color w:val="000000"/>
                <w:sz w:val="20"/>
                <w:szCs w:val="20"/>
                <w:lang w:val="id-ID"/>
              </w:rPr>
              <w:t>Share</w:t>
            </w:r>
          </w:p>
        </w:tc>
        <w:tc>
          <w:tcPr>
            <w:tcW w:w="1832"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PAD</w:t>
            </w:r>
          </w:p>
        </w:tc>
        <w:tc>
          <w:tcPr>
            <w:tcW w:w="831" w:type="dxa"/>
            <w:vMerge w:val="restart"/>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noWrap/>
            <w:vAlign w:val="center"/>
            <w:hideMark/>
          </w:tcPr>
          <w:p w:rsidR="00570D64" w:rsidRPr="00570D64" w:rsidRDefault="00570D64" w:rsidP="00570D64">
            <w:pPr>
              <w:spacing w:after="200" w:line="276" w:lineRule="auto"/>
              <w:rPr>
                <w:rFonts w:eastAsia="Times New Roman" w:cs="Times New Roman"/>
                <w:color w:val="000000"/>
                <w:sz w:val="20"/>
                <w:szCs w:val="20"/>
                <w:lang w:val="id-ID"/>
              </w:rPr>
            </w:pPr>
          </w:p>
        </w:tc>
        <w:tc>
          <w:tcPr>
            <w:tcW w:w="1492" w:type="dxa"/>
            <w:noWrap/>
            <w:vAlign w:val="center"/>
            <w:hideMark/>
          </w:tcPr>
          <w:p w:rsidR="00570D64" w:rsidRPr="00570D64" w:rsidRDefault="00570D64" w:rsidP="00570D64">
            <w:pPr>
              <w:spacing w:line="276" w:lineRule="auto"/>
              <w:rPr>
                <w:rFonts w:ascii="Calibri" w:eastAsia="Calibri" w:hAnsi="Calibri" w:cs="Times New Roman"/>
                <w:sz w:val="20"/>
                <w:szCs w:val="20"/>
                <w:lang w:val="id-ID"/>
              </w:rPr>
            </w:pPr>
          </w:p>
        </w:tc>
        <w:tc>
          <w:tcPr>
            <w:tcW w:w="1832"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Total Belanja Daerah</w:t>
            </w:r>
          </w:p>
        </w:tc>
        <w:tc>
          <w:tcPr>
            <w:tcW w:w="831" w:type="dxa"/>
            <w:vMerge/>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2.</w:t>
            </w:r>
          </w:p>
        </w:tc>
        <w:tc>
          <w:tcPr>
            <w:tcW w:w="1492" w:type="dxa"/>
            <w:noWrap/>
            <w:vAlign w:val="center"/>
            <w:hideMark/>
          </w:tcPr>
          <w:p w:rsidR="00570D64" w:rsidRPr="00570D64" w:rsidRDefault="00570D64" w:rsidP="00570D64">
            <w:pPr>
              <w:rPr>
                <w:rFonts w:eastAsia="Times New Roman" w:cs="Times New Roman"/>
                <w:i/>
                <w:color w:val="000000"/>
                <w:sz w:val="20"/>
                <w:szCs w:val="20"/>
                <w:lang w:val="id-ID"/>
              </w:rPr>
            </w:pPr>
            <w:r w:rsidRPr="00570D64">
              <w:rPr>
                <w:rFonts w:eastAsia="Times New Roman" w:cs="Times New Roman"/>
                <w:i/>
                <w:color w:val="000000"/>
                <w:sz w:val="20"/>
                <w:szCs w:val="20"/>
                <w:lang w:val="id-ID"/>
              </w:rPr>
              <w:t>Growth</w:t>
            </w:r>
          </w:p>
        </w:tc>
        <w:tc>
          <w:tcPr>
            <w:tcW w:w="1832"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PAD</w:t>
            </w:r>
            <w:r w:rsidRPr="00570D64">
              <w:rPr>
                <w:rFonts w:eastAsia="Times New Roman" w:cs="Times New Roman"/>
                <w:i/>
                <w:iCs/>
                <w:color w:val="000000"/>
                <w:sz w:val="20"/>
                <w:szCs w:val="20"/>
                <w:lang w:val="id-ID"/>
              </w:rPr>
              <w:t>t</w:t>
            </w:r>
            <w:r w:rsidRPr="00570D64">
              <w:rPr>
                <w:rFonts w:eastAsia="Times New Roman" w:cs="Times New Roman"/>
                <w:color w:val="000000"/>
                <w:sz w:val="20"/>
                <w:szCs w:val="20"/>
                <w:lang w:val="id-ID"/>
              </w:rPr>
              <w:t xml:space="preserve"> - PAD</w:t>
            </w:r>
            <w:r w:rsidRPr="00570D64">
              <w:rPr>
                <w:rFonts w:eastAsia="Times New Roman" w:cs="Times New Roman"/>
                <w:i/>
                <w:iCs/>
                <w:color w:val="000000"/>
                <w:sz w:val="20"/>
                <w:szCs w:val="20"/>
                <w:lang w:val="id-ID"/>
              </w:rPr>
              <w:t>t-</w:t>
            </w:r>
            <w:r w:rsidRPr="00570D64">
              <w:rPr>
                <w:rFonts w:eastAsia="Times New Roman" w:cs="Times New Roman"/>
                <w:i/>
                <w:iCs/>
                <w:color w:val="000000"/>
                <w:sz w:val="20"/>
                <w:szCs w:val="20"/>
                <w:vertAlign w:val="subscript"/>
                <w:lang w:val="id-ID"/>
              </w:rPr>
              <w:t>1</w:t>
            </w:r>
          </w:p>
        </w:tc>
        <w:tc>
          <w:tcPr>
            <w:tcW w:w="831" w:type="dxa"/>
            <w:vMerge w:val="restart"/>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noWrap/>
            <w:vAlign w:val="center"/>
            <w:hideMark/>
          </w:tcPr>
          <w:p w:rsidR="00570D64" w:rsidRPr="00570D64" w:rsidRDefault="00570D64" w:rsidP="00570D64">
            <w:pPr>
              <w:spacing w:after="200" w:line="276" w:lineRule="auto"/>
              <w:rPr>
                <w:rFonts w:eastAsia="Times New Roman" w:cs="Times New Roman"/>
                <w:color w:val="000000"/>
                <w:sz w:val="20"/>
                <w:szCs w:val="20"/>
                <w:lang w:val="id-ID"/>
              </w:rPr>
            </w:pPr>
          </w:p>
        </w:tc>
        <w:tc>
          <w:tcPr>
            <w:tcW w:w="1492" w:type="dxa"/>
            <w:noWrap/>
            <w:vAlign w:val="center"/>
            <w:hideMark/>
          </w:tcPr>
          <w:p w:rsidR="00570D64" w:rsidRPr="00570D64" w:rsidRDefault="00570D64" w:rsidP="00570D64">
            <w:pPr>
              <w:spacing w:line="276" w:lineRule="auto"/>
              <w:rPr>
                <w:rFonts w:ascii="Calibri" w:eastAsia="Calibri" w:hAnsi="Calibri" w:cs="Times New Roman"/>
                <w:sz w:val="20"/>
                <w:szCs w:val="20"/>
                <w:lang w:val="id-ID"/>
              </w:rPr>
            </w:pPr>
          </w:p>
        </w:tc>
        <w:tc>
          <w:tcPr>
            <w:tcW w:w="1832" w:type="dxa"/>
            <w:tcBorders>
              <w:top w:val="single" w:sz="4" w:space="0" w:color="auto"/>
              <w:left w:val="nil"/>
              <w:bottom w:val="nil"/>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PAD</w:t>
            </w:r>
            <w:r w:rsidRPr="00570D64">
              <w:rPr>
                <w:rFonts w:eastAsia="Times New Roman" w:cs="Times New Roman"/>
                <w:i/>
                <w:iCs/>
                <w:color w:val="000000"/>
                <w:sz w:val="20"/>
                <w:szCs w:val="20"/>
                <w:lang w:val="id-ID"/>
              </w:rPr>
              <w:t>t-</w:t>
            </w:r>
            <w:r w:rsidRPr="00570D64">
              <w:rPr>
                <w:rFonts w:eastAsia="Times New Roman" w:cs="Times New Roman"/>
                <w:i/>
                <w:iCs/>
                <w:color w:val="000000"/>
                <w:sz w:val="20"/>
                <w:szCs w:val="20"/>
                <w:vertAlign w:val="subscript"/>
                <w:lang w:val="id-ID"/>
              </w:rPr>
              <w:t>1</w:t>
            </w:r>
          </w:p>
        </w:tc>
        <w:tc>
          <w:tcPr>
            <w:tcW w:w="831" w:type="dxa"/>
            <w:vMerge/>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r w:rsidR="00570D64" w:rsidRPr="00570D64" w:rsidTr="00816EDB">
        <w:trPr>
          <w:trHeight w:val="335"/>
        </w:trPr>
        <w:tc>
          <w:tcPr>
            <w:tcW w:w="568"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3.</w:t>
            </w:r>
          </w:p>
        </w:tc>
        <w:tc>
          <w:tcPr>
            <w:tcW w:w="1492" w:type="dxa"/>
            <w:noWrap/>
            <w:vAlign w:val="center"/>
            <w:hideMark/>
          </w:tcPr>
          <w:p w:rsidR="00570D64" w:rsidRPr="00570D64" w:rsidRDefault="00570D64" w:rsidP="00570D64">
            <w:pPr>
              <w:rPr>
                <w:rFonts w:eastAsia="Times New Roman" w:cs="Times New Roman"/>
                <w:i/>
                <w:color w:val="000000"/>
                <w:sz w:val="20"/>
                <w:szCs w:val="20"/>
                <w:lang w:val="id-ID"/>
              </w:rPr>
            </w:pPr>
            <w:r w:rsidRPr="00570D64">
              <w:rPr>
                <w:rFonts w:eastAsia="Times New Roman" w:cs="Times New Roman"/>
                <w:i/>
                <w:color w:val="000000"/>
                <w:sz w:val="20"/>
                <w:szCs w:val="20"/>
                <w:lang w:val="id-ID"/>
              </w:rPr>
              <w:t>Elasticity</w:t>
            </w:r>
          </w:p>
        </w:tc>
        <w:tc>
          <w:tcPr>
            <w:tcW w:w="1832" w:type="dxa"/>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PAD</w:t>
            </w:r>
            <w:r w:rsidRPr="00570D64">
              <w:rPr>
                <w:rFonts w:eastAsia="Times New Roman" w:cs="Times New Roman"/>
                <w:i/>
                <w:iCs/>
                <w:color w:val="000000"/>
                <w:sz w:val="20"/>
                <w:szCs w:val="20"/>
                <w:lang w:val="id-ID"/>
              </w:rPr>
              <w:t>t</w:t>
            </w:r>
            <w:r w:rsidRPr="00570D64">
              <w:rPr>
                <w:rFonts w:eastAsia="Times New Roman" w:cs="Times New Roman"/>
                <w:color w:val="000000"/>
                <w:sz w:val="20"/>
                <w:szCs w:val="20"/>
                <w:lang w:val="id-ID"/>
              </w:rPr>
              <w:t xml:space="preserve"> - PAD</w:t>
            </w:r>
            <w:r w:rsidRPr="00570D64">
              <w:rPr>
                <w:rFonts w:eastAsia="Times New Roman" w:cs="Times New Roman"/>
                <w:i/>
                <w:iCs/>
                <w:color w:val="000000"/>
                <w:sz w:val="20"/>
                <w:szCs w:val="20"/>
                <w:lang w:val="id-ID"/>
              </w:rPr>
              <w:t>t-</w:t>
            </w:r>
            <w:r w:rsidRPr="00570D64">
              <w:rPr>
                <w:rFonts w:eastAsia="Times New Roman" w:cs="Times New Roman"/>
                <w:i/>
                <w:iCs/>
                <w:color w:val="000000"/>
                <w:sz w:val="20"/>
                <w:szCs w:val="20"/>
                <w:vertAlign w:val="subscript"/>
                <w:lang w:val="id-ID"/>
              </w:rPr>
              <w:t>1</w:t>
            </w:r>
          </w:p>
        </w:tc>
        <w:tc>
          <w:tcPr>
            <w:tcW w:w="831" w:type="dxa"/>
            <w:vMerge w:val="restart"/>
            <w:tcBorders>
              <w:top w:val="nil"/>
              <w:left w:val="nil"/>
              <w:bottom w:val="single" w:sz="4" w:space="0" w:color="000000"/>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x 100%</w:t>
            </w:r>
          </w:p>
        </w:tc>
      </w:tr>
      <w:tr w:rsidR="00570D64" w:rsidRPr="00570D64" w:rsidTr="00816EDB">
        <w:trPr>
          <w:trHeight w:val="335"/>
        </w:trPr>
        <w:tc>
          <w:tcPr>
            <w:tcW w:w="568" w:type="dxa"/>
            <w:tcBorders>
              <w:top w:val="nil"/>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 </w:t>
            </w:r>
          </w:p>
        </w:tc>
        <w:tc>
          <w:tcPr>
            <w:tcW w:w="1492" w:type="dxa"/>
            <w:tcBorders>
              <w:top w:val="nil"/>
              <w:left w:val="nil"/>
              <w:bottom w:val="single" w:sz="4" w:space="0" w:color="auto"/>
              <w:right w:val="nil"/>
            </w:tcBorders>
            <w:noWrap/>
            <w:vAlign w:val="center"/>
            <w:hideMark/>
          </w:tcPr>
          <w:p w:rsidR="00570D64" w:rsidRPr="00570D64" w:rsidRDefault="00570D64" w:rsidP="00570D64">
            <w:pPr>
              <w:rPr>
                <w:rFonts w:eastAsia="Times New Roman" w:cs="Times New Roman"/>
                <w:color w:val="000000"/>
                <w:sz w:val="20"/>
                <w:szCs w:val="20"/>
                <w:lang w:val="id-ID"/>
              </w:rPr>
            </w:pPr>
            <w:r w:rsidRPr="00570D64">
              <w:rPr>
                <w:rFonts w:eastAsia="Times New Roman" w:cs="Times New Roman"/>
                <w:color w:val="000000"/>
                <w:sz w:val="20"/>
                <w:szCs w:val="20"/>
                <w:lang w:val="id-ID"/>
              </w:rPr>
              <w:t> </w:t>
            </w:r>
          </w:p>
        </w:tc>
        <w:tc>
          <w:tcPr>
            <w:tcW w:w="1832" w:type="dxa"/>
            <w:tcBorders>
              <w:top w:val="single" w:sz="4" w:space="0" w:color="auto"/>
              <w:left w:val="nil"/>
              <w:bottom w:val="single" w:sz="4" w:space="0" w:color="auto"/>
              <w:right w:val="nil"/>
            </w:tcBorders>
            <w:noWrap/>
            <w:vAlign w:val="center"/>
            <w:hideMark/>
          </w:tcPr>
          <w:p w:rsidR="00570D64" w:rsidRPr="00570D64" w:rsidRDefault="00570D64" w:rsidP="00570D64">
            <w:pPr>
              <w:jc w:val="center"/>
              <w:rPr>
                <w:rFonts w:eastAsia="Times New Roman" w:cs="Times New Roman"/>
                <w:color w:val="000000"/>
                <w:sz w:val="20"/>
                <w:szCs w:val="20"/>
                <w:lang w:val="id-ID"/>
              </w:rPr>
            </w:pPr>
            <w:r w:rsidRPr="00570D64">
              <w:rPr>
                <w:rFonts w:eastAsia="Times New Roman" w:cs="Times New Roman"/>
                <w:color w:val="000000"/>
                <w:sz w:val="20"/>
                <w:szCs w:val="20"/>
                <w:lang w:val="id-ID"/>
              </w:rPr>
              <w:t>PDRB</w:t>
            </w:r>
            <w:r w:rsidRPr="00570D64">
              <w:rPr>
                <w:rFonts w:eastAsia="Times New Roman" w:cs="Times New Roman"/>
                <w:i/>
                <w:iCs/>
                <w:color w:val="000000"/>
                <w:sz w:val="20"/>
                <w:szCs w:val="20"/>
                <w:lang w:val="id-ID"/>
              </w:rPr>
              <w:t>t</w:t>
            </w:r>
            <w:r w:rsidRPr="00570D64">
              <w:rPr>
                <w:rFonts w:eastAsia="Times New Roman" w:cs="Times New Roman"/>
                <w:color w:val="000000"/>
                <w:sz w:val="20"/>
                <w:szCs w:val="20"/>
                <w:lang w:val="id-ID"/>
              </w:rPr>
              <w:t xml:space="preserve"> - PDRB</w:t>
            </w:r>
            <w:r w:rsidRPr="00570D64">
              <w:rPr>
                <w:rFonts w:eastAsia="Times New Roman" w:cs="Times New Roman"/>
                <w:i/>
                <w:iCs/>
                <w:color w:val="000000"/>
                <w:sz w:val="20"/>
                <w:szCs w:val="20"/>
                <w:lang w:val="id-ID"/>
              </w:rPr>
              <w:t>t-</w:t>
            </w:r>
            <w:r w:rsidRPr="00570D64">
              <w:rPr>
                <w:rFonts w:eastAsia="Times New Roman" w:cs="Times New Roman"/>
                <w:i/>
                <w:iCs/>
                <w:color w:val="000000"/>
                <w:sz w:val="20"/>
                <w:szCs w:val="20"/>
                <w:vertAlign w:val="subscript"/>
                <w:lang w:val="id-ID"/>
              </w:rPr>
              <w:t>1</w:t>
            </w:r>
          </w:p>
        </w:tc>
        <w:tc>
          <w:tcPr>
            <w:tcW w:w="831" w:type="dxa"/>
            <w:vMerge/>
            <w:tcBorders>
              <w:top w:val="nil"/>
              <w:left w:val="nil"/>
              <w:bottom w:val="single" w:sz="4" w:space="0" w:color="000000"/>
              <w:right w:val="nil"/>
            </w:tcBorders>
            <w:vAlign w:val="center"/>
            <w:hideMark/>
          </w:tcPr>
          <w:p w:rsidR="00570D64" w:rsidRPr="00570D64" w:rsidRDefault="00570D64" w:rsidP="00570D64">
            <w:pPr>
              <w:spacing w:line="276" w:lineRule="auto"/>
              <w:rPr>
                <w:rFonts w:eastAsia="Times New Roman" w:cs="Times New Roman"/>
                <w:color w:val="000000"/>
                <w:sz w:val="20"/>
                <w:szCs w:val="20"/>
                <w:lang w:val="id-ID"/>
              </w:rPr>
            </w:pPr>
          </w:p>
        </w:tc>
      </w:tr>
    </w:tbl>
    <w:p w:rsidR="00570D64" w:rsidRPr="00570D64" w:rsidRDefault="00570D64" w:rsidP="00570D64">
      <w:pPr>
        <w:pStyle w:val="JAK22aBODYARTIKEL"/>
        <w:ind w:left="284" w:firstLine="425"/>
        <w:rPr>
          <w:sz w:val="20"/>
          <w:szCs w:val="20"/>
        </w:rPr>
      </w:pPr>
    </w:p>
    <w:p w:rsidR="00570D64" w:rsidRPr="00570D64" w:rsidRDefault="00570D64" w:rsidP="00570D64">
      <w:pPr>
        <w:pStyle w:val="JAK22aBODYARTIKEL"/>
        <w:ind w:left="284"/>
        <w:rPr>
          <w:sz w:val="20"/>
          <w:szCs w:val="20"/>
        </w:rPr>
      </w:pPr>
      <w:r w:rsidRPr="00570D64">
        <w:rPr>
          <w:sz w:val="20"/>
          <w:szCs w:val="20"/>
        </w:rPr>
        <w:t>Sumber: Data yang diolah (2025)</w:t>
      </w:r>
    </w:p>
    <w:p w:rsidR="00EC479D" w:rsidRDefault="00EC479D" w:rsidP="00816EDB">
      <w:pPr>
        <w:pStyle w:val="JAK22aBODYARTIKEL"/>
        <w:numPr>
          <w:ilvl w:val="0"/>
          <w:numId w:val="5"/>
        </w:numPr>
        <w:ind w:left="284" w:hanging="284"/>
      </w:pPr>
      <w:r>
        <w:lastRenderedPageBreak/>
        <w:t>Rasio Kemandirian Keuangan Daerah</w:t>
      </w:r>
    </w:p>
    <w:p w:rsidR="00570D64" w:rsidRDefault="00570D64" w:rsidP="00816EDB">
      <w:pPr>
        <w:pStyle w:val="JAK22aBODYARTIKEL"/>
        <w:ind w:left="284" w:firstLine="425"/>
      </w:pPr>
      <w:r>
        <w:t xml:space="preserve">Rasio Kemandirian Keuangan Daerah digunakan untuk mengukur sejauh mana pemerintah daerah mampu membiayai seluruh aktivitas penyelenggaraan pemerintahan dengan memanfaatkan PAD. Semakin tinggi nilai rasio tersebut, maka semakin besar tingkat kemandirian fiskal daerah. Dengan kata lain, daerah semakin mampu mengurangi ketergantungan terhadap sumber pendanaan eksternal, khususnya transfer dari pemerintah pusat </w:t>
      </w:r>
      <w:r w:rsidR="00A74242">
        <w:fldChar w:fldCharType="begin" w:fldLock="1"/>
      </w:r>
      <w:r w:rsidR="00A74242">
        <w:instrText>ADDIN CSL_CITATION {"citationItems":[{"id":"ITEM-1","itemData":{"DOI":"10.33105/jmp.v5i1.513","ISSN":"2776-7256","abstract":"This study is analyzing the influences of regional taxes, revenue sharing funds (DBH), and special allocation funds (DAK) on regional financial independence. The samples taken in this research cover all districts and cities in Riau Province for 6 years, specifically in the year 2017 to 2022 used as the panel data. Data obtained from BPK's LHP on Regional Government LKPD (LKPD that has been audited by BPK). This research applies multiple linear regression with a random effect method (REM) model which is processed with the EViews 12 application. The analysis found that regional taxes have a significantly positive influence on regional financial independence. On the other hand, profit sharing funds/DBH and special allocation funds/DAK have a significantly negative influence on regional financial independence. In conclusion, this study demonstrates a clear link between regional revenue sources (taxes, DBH, DAK) and a region's ability to manage its finances independently.","author":[{"dropping-particle":"","family":"Daerah","given":"Pengaruh Pajak","non-dropping-particle":"","parse-names":false,"suffix":""},{"dropping-particle":"","family":"Dak","given":"D A N","non-dropping-particle":"","parse-names":false,"suffix":""},{"dropping-particle":"","family":"Di","given":"Pemda","non-dropping-particle":"","parse-names":false,"suffix":""},{"dropping-particle":"","family":"Riau","given":"Provinsi","non-dropping-particle":"","parse-names":false,"suffix":""}],"container-title":"Jurnal Manajemen Perbendaharaan","id":"ITEM-1","issue":"1","issued":{"date-parts":[["2024"]]},"page":"38-56","title":"Pengaruh Pajak Daerah, DBH, dan DAK terhadap Kemandirian Keuangan Pemda di Provinsi Riau","type":"article-journal","volume":"5"},"uris":["http://www.mendeley.com/documents/?uuid=355241c7-4415-4d51-9490-41a22467dbca"]}],"mendeley":{"formattedCitation":"(Daerah et al., 2024)","plainTextFormattedCitation":"(Daerah et al., 2024)","previouslyFormattedCitation":"(Daerah et al., 2024)"},"properties":{"noteIndex":0},"schema":"https://github.com/citation-style-language/schema/raw/master/csl-citation.json"}</w:instrText>
      </w:r>
      <w:r w:rsidR="00A74242">
        <w:fldChar w:fldCharType="separate"/>
      </w:r>
      <w:r w:rsidR="00A74242" w:rsidRPr="00A74242">
        <w:rPr>
          <w:noProof/>
        </w:rPr>
        <w:t>(Daerah et al., 2024)</w:t>
      </w:r>
      <w:r w:rsidR="00A74242">
        <w:fldChar w:fldCharType="end"/>
      </w:r>
      <w:r w:rsidR="00A74242">
        <w:t>.</w:t>
      </w:r>
    </w:p>
    <w:p w:rsidR="00570D64" w:rsidRDefault="00570D64" w:rsidP="00816EDB">
      <w:pPr>
        <w:pStyle w:val="JAK22aBODYARTIKEL"/>
        <w:ind w:left="284" w:firstLine="425"/>
      </w:pPr>
      <w:r>
        <w:t>Tingkat kemandirian keuangan daerah dapat dilihat melalui klasifikasi interval rasio kemandirian, yang disajikan dalam Tabel 3 berikut:</w:t>
      </w:r>
    </w:p>
    <w:p w:rsidR="00570D64" w:rsidRDefault="00570D64" w:rsidP="00816EDB">
      <w:pPr>
        <w:pStyle w:val="JAK22aBODYARTIKEL"/>
        <w:ind w:left="284"/>
        <w:jc w:val="center"/>
      </w:pPr>
      <w:r>
        <w:t>Tabel 3. Klasifikasi Pola Hubungan Tingkat Kemandirian Keuangan Daerah</w:t>
      </w:r>
    </w:p>
    <w:tbl>
      <w:tblPr>
        <w:tblW w:w="3870" w:type="dxa"/>
        <w:tblInd w:w="426" w:type="dxa"/>
        <w:tblLook w:val="04A0" w:firstRow="1" w:lastRow="0" w:firstColumn="1" w:lastColumn="0" w:noHBand="0" w:noVBand="1"/>
      </w:tblPr>
      <w:tblGrid>
        <w:gridCol w:w="1289"/>
        <w:gridCol w:w="1434"/>
        <w:gridCol w:w="1147"/>
      </w:tblGrid>
      <w:tr w:rsidR="002000C0" w:rsidRPr="002000C0" w:rsidTr="00816EDB">
        <w:trPr>
          <w:trHeight w:val="688"/>
        </w:trPr>
        <w:tc>
          <w:tcPr>
            <w:tcW w:w="1289" w:type="dxa"/>
            <w:tcBorders>
              <w:top w:val="single" w:sz="4" w:space="0" w:color="auto"/>
              <w:left w:val="nil"/>
              <w:bottom w:val="nil"/>
              <w:right w:val="nil"/>
            </w:tcBorders>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Rasio Kemandirian</w:t>
            </w:r>
            <w:r w:rsidRPr="002000C0">
              <w:rPr>
                <w:rFonts w:eastAsia="Times New Roman" w:cs="Times New Roman"/>
                <w:color w:val="000000"/>
                <w:sz w:val="20"/>
                <w:szCs w:val="22"/>
                <w:lang w:val="id-ID" w:eastAsia="id-ID"/>
              </w:rPr>
              <w:br/>
              <w:t>(%)</w:t>
            </w:r>
          </w:p>
        </w:tc>
        <w:tc>
          <w:tcPr>
            <w:tcW w:w="1434"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Tingkat Kemandirian</w:t>
            </w:r>
          </w:p>
        </w:tc>
        <w:tc>
          <w:tcPr>
            <w:tcW w:w="1147"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Pola Hubungan</w:t>
            </w:r>
          </w:p>
        </w:tc>
      </w:tr>
      <w:tr w:rsidR="002000C0" w:rsidRPr="002000C0" w:rsidTr="00816EDB">
        <w:trPr>
          <w:trHeight w:val="438"/>
        </w:trPr>
        <w:tc>
          <w:tcPr>
            <w:tcW w:w="1289"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0 – 25</w:t>
            </w:r>
          </w:p>
        </w:tc>
        <w:tc>
          <w:tcPr>
            <w:tcW w:w="1434"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Rendah Sekali</w:t>
            </w:r>
          </w:p>
        </w:tc>
        <w:tc>
          <w:tcPr>
            <w:tcW w:w="1147"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Instruktif</w:t>
            </w:r>
          </w:p>
        </w:tc>
      </w:tr>
      <w:tr w:rsidR="002000C0" w:rsidRPr="002000C0" w:rsidTr="00816EDB">
        <w:trPr>
          <w:trHeight w:val="438"/>
        </w:trPr>
        <w:tc>
          <w:tcPr>
            <w:tcW w:w="1289"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&gt;25 – 50</w:t>
            </w:r>
          </w:p>
        </w:tc>
        <w:tc>
          <w:tcPr>
            <w:tcW w:w="1434"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Rendah</w:t>
            </w:r>
          </w:p>
        </w:tc>
        <w:tc>
          <w:tcPr>
            <w:tcW w:w="1147"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Konsultatif</w:t>
            </w:r>
          </w:p>
        </w:tc>
      </w:tr>
      <w:tr w:rsidR="002000C0" w:rsidRPr="002000C0" w:rsidTr="00816EDB">
        <w:trPr>
          <w:trHeight w:val="393"/>
        </w:trPr>
        <w:tc>
          <w:tcPr>
            <w:tcW w:w="1289"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&gt;50 – 75</w:t>
            </w:r>
          </w:p>
        </w:tc>
        <w:tc>
          <w:tcPr>
            <w:tcW w:w="1434"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Sedang</w:t>
            </w:r>
          </w:p>
        </w:tc>
        <w:tc>
          <w:tcPr>
            <w:tcW w:w="1147"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Partisipatif</w:t>
            </w:r>
          </w:p>
        </w:tc>
      </w:tr>
      <w:tr w:rsidR="002000C0" w:rsidRPr="002000C0" w:rsidTr="00816EDB">
        <w:trPr>
          <w:trHeight w:val="438"/>
        </w:trPr>
        <w:tc>
          <w:tcPr>
            <w:tcW w:w="1289"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&gt;75 – 100</w:t>
            </w:r>
          </w:p>
        </w:tc>
        <w:tc>
          <w:tcPr>
            <w:tcW w:w="143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Tinggi</w:t>
            </w:r>
          </w:p>
        </w:tc>
        <w:tc>
          <w:tcPr>
            <w:tcW w:w="114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eastAsia="id-ID"/>
              </w:rPr>
              <w:t>Delegatif</w:t>
            </w:r>
          </w:p>
        </w:tc>
      </w:tr>
    </w:tbl>
    <w:p w:rsidR="002000C0" w:rsidRPr="00570D64" w:rsidRDefault="002000C0" w:rsidP="002000C0">
      <w:pPr>
        <w:pStyle w:val="JAK22aBODYARTIKEL"/>
        <w:ind w:left="284" w:firstLine="425"/>
        <w:rPr>
          <w:sz w:val="20"/>
          <w:szCs w:val="20"/>
        </w:rPr>
      </w:pPr>
    </w:p>
    <w:p w:rsidR="002000C0" w:rsidRPr="00570D64" w:rsidRDefault="002000C0" w:rsidP="00816EDB">
      <w:pPr>
        <w:pStyle w:val="JAK22aBODYARTIKEL"/>
        <w:ind w:left="284"/>
        <w:rPr>
          <w:sz w:val="20"/>
          <w:szCs w:val="20"/>
        </w:rPr>
      </w:pPr>
      <w:r w:rsidRPr="00570D64">
        <w:rPr>
          <w:sz w:val="20"/>
          <w:szCs w:val="20"/>
        </w:rPr>
        <w:t>Sumber: Data yang diolah (2025)</w:t>
      </w:r>
    </w:p>
    <w:p w:rsidR="002000C0" w:rsidRPr="00570D64" w:rsidRDefault="002000C0" w:rsidP="002000C0">
      <w:pPr>
        <w:pStyle w:val="JAK22aBODYARTIKEL"/>
        <w:ind w:left="284" w:firstLine="425"/>
        <w:rPr>
          <w:sz w:val="20"/>
          <w:szCs w:val="20"/>
        </w:rPr>
      </w:pPr>
    </w:p>
    <w:p w:rsidR="00EC479D" w:rsidRDefault="00EC479D" w:rsidP="00816EDB">
      <w:pPr>
        <w:pStyle w:val="JAK22aBODYARTIKEL"/>
        <w:numPr>
          <w:ilvl w:val="0"/>
          <w:numId w:val="5"/>
        </w:numPr>
        <w:ind w:left="284" w:hanging="284"/>
      </w:pPr>
      <w:r>
        <w:t>Rasio Desentralisasi Fiskal</w:t>
      </w:r>
    </w:p>
    <w:p w:rsidR="002000C0" w:rsidRDefault="002000C0" w:rsidP="00816EDB">
      <w:pPr>
        <w:pStyle w:val="JAK22aBODYARTIKEL"/>
        <w:ind w:left="284" w:firstLine="425"/>
      </w:pPr>
      <w:r>
        <w:t>Rasio Desentralisasi Fiskal digunakan untuk mengukur sejauh mana daerah mampu memanfaatkan PAD untuk membiayai belanja daerah. Semakin tinggi nilai rasio DDF, semakin besar tingkat kemandirian fiskal daerah, yang berarti daerah memiliki kemampuan yang lebih baik dalam mendanai kebutuhan belanjanya tanpa bergantung p</w:t>
      </w:r>
      <w:r w:rsidR="00A74242">
        <w:t xml:space="preserve">ada sumber pendanaan eksternal </w:t>
      </w:r>
      <w:r w:rsidR="00A74242">
        <w:fldChar w:fldCharType="begin" w:fldLock="1"/>
      </w:r>
      <w:r w:rsidR="00A74242">
        <w:instrText>ADDIN CSL_CITATION {"citationItems":[{"id":"ITEM-1","itemData":{"author":[{"dropping-particle":"","family":"Fadhilla","given":"Ratri Niki","non-dropping-particle":"","parse-names":false,"suffix":""},{"dropping-particle":"","family":"Nissa","given":"Dwi","non-dropping-particle":"","parse-names":false,"suffix":""},{"dropping-particle":"","family":"Putri","given":"Marisa","non-dropping-particle":"","parse-names":false,"suffix":""}],"id":"ITEM-1","issue":"April","issued":{"date-parts":[["2025"]]},"page":"129-143","title":"Menakar Kemandirian Keuangan Daerah : Studi Kasus Ketergantungan Fiskal Kabupaten Magelang 2020 – 2024 Universitas Tidar Dwi Noor Fadhilatun Nissa Universitas Tidar Marisa Adilah Putri Universitas Tidar","type":"article-journal","volume":"10"},"uris":["http://www.mendeley.com/documents/?uuid=4889d3da-e180-42a6-9c48-20b057fff118"]}],"mendeley":{"formattedCitation":"(Fadhilla et al., 2025)","plainTextFormattedCitation":"(Fadhilla et al., 2025)","previouslyFormattedCitation":"(Fadhilla et al., 2025)"},"properties":{"noteIndex":0},"schema":"https://github.com/citation-style-language/schema/raw/master/csl-citation.json"}</w:instrText>
      </w:r>
      <w:r w:rsidR="00A74242">
        <w:fldChar w:fldCharType="separate"/>
      </w:r>
      <w:r w:rsidR="00A74242" w:rsidRPr="00A74242">
        <w:rPr>
          <w:noProof/>
        </w:rPr>
        <w:t>(Fadhilla et al., 2025)</w:t>
      </w:r>
      <w:r w:rsidR="00A74242">
        <w:fldChar w:fldCharType="end"/>
      </w:r>
      <w:r>
        <w:t>.</w:t>
      </w:r>
    </w:p>
    <w:p w:rsidR="002000C0" w:rsidRDefault="002000C0" w:rsidP="00816EDB">
      <w:pPr>
        <w:pStyle w:val="JAK22aBODYARTIKEL"/>
        <w:ind w:left="284" w:firstLine="425"/>
      </w:pPr>
      <w:r>
        <w:t>Tingkat kemampuan keuangan daerah berdasarkan rasio desentralisasi fiskal dapat dikategorikan ke dalam beberapa persentase klasifikasi. Klasifikasi tersebut disajikan dalam Tabel 4 berikut:</w:t>
      </w:r>
    </w:p>
    <w:p w:rsidR="002000C0" w:rsidRDefault="002000C0" w:rsidP="00816EDB">
      <w:pPr>
        <w:pStyle w:val="JAK22aBODYARTIKEL"/>
        <w:ind w:left="284"/>
        <w:jc w:val="center"/>
      </w:pPr>
      <w:r>
        <w:lastRenderedPageBreak/>
        <w:t>Tabel 4. Klasifikasi Kriteria Rasio Desentralifikasi Fiskal</w:t>
      </w:r>
    </w:p>
    <w:tbl>
      <w:tblPr>
        <w:tblW w:w="3684" w:type="dxa"/>
        <w:tblInd w:w="426" w:type="dxa"/>
        <w:tblLook w:val="04A0" w:firstRow="1" w:lastRow="0" w:firstColumn="1" w:lastColumn="0" w:noHBand="0" w:noVBand="1"/>
      </w:tblPr>
      <w:tblGrid>
        <w:gridCol w:w="1984"/>
        <w:gridCol w:w="1700"/>
      </w:tblGrid>
      <w:tr w:rsidR="002000C0" w:rsidRPr="002000C0" w:rsidTr="00816EDB">
        <w:trPr>
          <w:trHeight w:val="622"/>
        </w:trPr>
        <w:tc>
          <w:tcPr>
            <w:tcW w:w="1984" w:type="dxa"/>
            <w:tcBorders>
              <w:top w:val="single" w:sz="4" w:space="0" w:color="auto"/>
              <w:left w:val="nil"/>
              <w:bottom w:val="single" w:sz="4" w:space="0" w:color="auto"/>
              <w:right w:val="nil"/>
            </w:tcBorders>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rPr>
              <w:t>Rasio Desentralisasi Fiskal (%)</w:t>
            </w:r>
          </w:p>
        </w:tc>
        <w:tc>
          <w:tcPr>
            <w:tcW w:w="1700"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Kriteria</w:t>
            </w:r>
          </w:p>
        </w:tc>
      </w:tr>
      <w:tr w:rsidR="002000C0" w:rsidRPr="002000C0" w:rsidTr="00816EDB">
        <w:trPr>
          <w:trHeight w:val="396"/>
        </w:trPr>
        <w:tc>
          <w:tcPr>
            <w:tcW w:w="198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0,00 - 10,00</w:t>
            </w:r>
          </w:p>
        </w:tc>
        <w:tc>
          <w:tcPr>
            <w:tcW w:w="170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Sangat Kurang</w:t>
            </w:r>
          </w:p>
        </w:tc>
      </w:tr>
      <w:tr w:rsidR="002000C0" w:rsidRPr="002000C0" w:rsidTr="00816EDB">
        <w:trPr>
          <w:trHeight w:val="396"/>
        </w:trPr>
        <w:tc>
          <w:tcPr>
            <w:tcW w:w="198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10,01 - 20,00</w:t>
            </w:r>
          </w:p>
        </w:tc>
        <w:tc>
          <w:tcPr>
            <w:tcW w:w="170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Kurang</w:t>
            </w:r>
          </w:p>
        </w:tc>
      </w:tr>
      <w:tr w:rsidR="002000C0" w:rsidRPr="002000C0" w:rsidTr="00816EDB">
        <w:trPr>
          <w:trHeight w:val="396"/>
        </w:trPr>
        <w:tc>
          <w:tcPr>
            <w:tcW w:w="198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20,01 - 30,00</w:t>
            </w:r>
          </w:p>
        </w:tc>
        <w:tc>
          <w:tcPr>
            <w:tcW w:w="170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Sedang</w:t>
            </w:r>
          </w:p>
        </w:tc>
      </w:tr>
      <w:tr w:rsidR="002000C0" w:rsidRPr="002000C0" w:rsidTr="00816EDB">
        <w:trPr>
          <w:trHeight w:val="396"/>
        </w:trPr>
        <w:tc>
          <w:tcPr>
            <w:tcW w:w="198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30,01 - 40,00</w:t>
            </w:r>
          </w:p>
        </w:tc>
        <w:tc>
          <w:tcPr>
            <w:tcW w:w="170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Cukup</w:t>
            </w:r>
          </w:p>
        </w:tc>
      </w:tr>
      <w:tr w:rsidR="002000C0" w:rsidRPr="002000C0" w:rsidTr="00816EDB">
        <w:trPr>
          <w:trHeight w:val="396"/>
        </w:trPr>
        <w:tc>
          <w:tcPr>
            <w:tcW w:w="198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40,01 - 50,00</w:t>
            </w:r>
          </w:p>
        </w:tc>
        <w:tc>
          <w:tcPr>
            <w:tcW w:w="170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Baik</w:t>
            </w:r>
          </w:p>
        </w:tc>
      </w:tr>
      <w:tr w:rsidR="002000C0" w:rsidRPr="002000C0" w:rsidTr="00816EDB">
        <w:trPr>
          <w:trHeight w:val="396"/>
        </w:trPr>
        <w:tc>
          <w:tcPr>
            <w:tcW w:w="1984"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&gt;50,00</w:t>
            </w:r>
          </w:p>
        </w:tc>
        <w:tc>
          <w:tcPr>
            <w:tcW w:w="170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Sangat Baik</w:t>
            </w:r>
          </w:p>
        </w:tc>
      </w:tr>
    </w:tbl>
    <w:p w:rsidR="002000C0" w:rsidRPr="00570D64" w:rsidRDefault="002000C0" w:rsidP="002000C0">
      <w:pPr>
        <w:pStyle w:val="JAK22aBODYARTIKEL"/>
        <w:ind w:left="284" w:firstLine="425"/>
        <w:rPr>
          <w:sz w:val="20"/>
          <w:szCs w:val="20"/>
        </w:rPr>
      </w:pPr>
    </w:p>
    <w:p w:rsidR="002000C0" w:rsidRPr="00570D64" w:rsidRDefault="002000C0" w:rsidP="00816EDB">
      <w:pPr>
        <w:pStyle w:val="JAK22aBODYARTIKEL"/>
        <w:ind w:left="284"/>
        <w:rPr>
          <w:sz w:val="20"/>
          <w:szCs w:val="20"/>
        </w:rPr>
      </w:pPr>
      <w:r w:rsidRPr="00570D64">
        <w:rPr>
          <w:sz w:val="20"/>
          <w:szCs w:val="20"/>
        </w:rPr>
        <w:t>Sumber: Data yang diolah (2025)</w:t>
      </w:r>
    </w:p>
    <w:p w:rsidR="002000C0" w:rsidRPr="00570D64" w:rsidRDefault="002000C0" w:rsidP="002000C0">
      <w:pPr>
        <w:pStyle w:val="JAK22aBODYARTIKEL"/>
        <w:ind w:left="284" w:firstLine="425"/>
        <w:rPr>
          <w:sz w:val="20"/>
          <w:szCs w:val="20"/>
        </w:rPr>
      </w:pPr>
    </w:p>
    <w:p w:rsidR="00EC479D" w:rsidRDefault="00EC479D" w:rsidP="00816EDB">
      <w:pPr>
        <w:pStyle w:val="JAK22aBODYARTIKEL"/>
        <w:numPr>
          <w:ilvl w:val="0"/>
          <w:numId w:val="5"/>
        </w:numPr>
        <w:ind w:left="284" w:hanging="284"/>
      </w:pPr>
      <w:r>
        <w:t>Rasio Efektivitas PAD</w:t>
      </w:r>
    </w:p>
    <w:p w:rsidR="002000C0" w:rsidRDefault="002000C0" w:rsidP="00816EDB">
      <w:pPr>
        <w:pStyle w:val="JAK22aBODYARTIKEL"/>
        <w:ind w:left="284" w:firstLine="425"/>
      </w:pPr>
      <w:r>
        <w:t>Rasio Efektivitas PAD digunakan untuk mengukur sejauh mana pemerintah daerah mampu merealisasikan Pendapatan Asli Daerah sesuai dengan target yang telah ditetapkan sebelumnya. Semakin tinggi nilai rasio efektivitas, semakin baik kemampuan daerah dalam mencapai target penerimaan PAD. Dengan kata lain, rasio yang tinggi menunjukkan bahwa perencanaan pendapatan daerah dilakukan secara realistis dan diikuti dengan pelak</w:t>
      </w:r>
      <w:r w:rsidR="00A74242">
        <w:t xml:space="preserve">sanaan pemungutan yang efektif </w:t>
      </w:r>
      <w:r w:rsidR="00A74242">
        <w:fldChar w:fldCharType="begin" w:fldLock="1"/>
      </w:r>
      <w:r w:rsidR="00A74242">
        <w:instrText>ADDIN CSL_CITATION {"citationItems":[{"id":"ITEM-1","itemData":{"author":[{"dropping-particle":"","family":"Rasio","given":"Analisis","non-dropping-particle":"","parse-names":false,"suffix":""},{"dropping-particle":"","family":"Pad","given":"Efektivitas","non-dropping-particle":"","parse-names":false,"suffix":""},{"dropping-particle":"","family":"Pad","given":"Efisiensi","non-dropping-particle":"","parse-names":false,"suffix":""}],"id":"ITEM-1","issued":{"date-parts":[["2024"]]},"page":"98-104","title":"INDEPENDENT : Journal of Economics E-ISSN 2798-5008","type":"article-journal","volume":"4"},"uris":["http://www.mendeley.com/documents/?uuid=8dabe5aa-58fe-4051-ad0d-230faecbe702"]}],"mendeley":{"formattedCitation":"(Rasio et al., 2024)","plainTextFormattedCitation":"(Rasio et al., 2024)","previouslyFormattedCitation":"(Rasio et al., 2024)"},"properties":{"noteIndex":0},"schema":"https://github.com/citation-style-language/schema/raw/master/csl-citation.json"}</w:instrText>
      </w:r>
      <w:r w:rsidR="00A74242">
        <w:fldChar w:fldCharType="separate"/>
      </w:r>
      <w:r w:rsidR="00A74242" w:rsidRPr="00A74242">
        <w:rPr>
          <w:noProof/>
        </w:rPr>
        <w:t>(Rasio et al., 2024)</w:t>
      </w:r>
      <w:r w:rsidR="00A74242">
        <w:fldChar w:fldCharType="end"/>
      </w:r>
      <w:r>
        <w:t>.</w:t>
      </w:r>
    </w:p>
    <w:p w:rsidR="002000C0" w:rsidRDefault="002000C0" w:rsidP="00816EDB">
      <w:pPr>
        <w:pStyle w:val="JAK22aBODYARTIKEL"/>
        <w:ind w:left="284" w:firstLine="425"/>
      </w:pPr>
      <w:r>
        <w:t>Tingkat efektivitas PAD dapat dikategorikan berdasarkan klasifikasi persentase tertentu. Kriteria tersebut disajikan dalam Tabel 5 berikut:</w:t>
      </w:r>
    </w:p>
    <w:p w:rsidR="002000C0" w:rsidRDefault="002000C0" w:rsidP="00816EDB">
      <w:pPr>
        <w:pStyle w:val="JAK22aBODYARTIKEL"/>
        <w:ind w:left="284"/>
        <w:jc w:val="center"/>
      </w:pPr>
      <w:r>
        <w:t>Tabel 5. Klasifikasi Kriteria Rasio Efektivitas PAD</w:t>
      </w:r>
    </w:p>
    <w:tbl>
      <w:tblPr>
        <w:tblW w:w="3379" w:type="dxa"/>
        <w:tblInd w:w="567" w:type="dxa"/>
        <w:tblLook w:val="04A0" w:firstRow="1" w:lastRow="0" w:firstColumn="1" w:lastColumn="0" w:noHBand="0" w:noVBand="1"/>
      </w:tblPr>
      <w:tblGrid>
        <w:gridCol w:w="1616"/>
        <w:gridCol w:w="1763"/>
      </w:tblGrid>
      <w:tr w:rsidR="002000C0" w:rsidRPr="002000C0" w:rsidTr="00816EDB">
        <w:trPr>
          <w:trHeight w:val="508"/>
        </w:trPr>
        <w:tc>
          <w:tcPr>
            <w:tcW w:w="1616" w:type="dxa"/>
            <w:tcBorders>
              <w:top w:val="single" w:sz="4" w:space="0" w:color="auto"/>
              <w:left w:val="nil"/>
              <w:bottom w:val="single" w:sz="4" w:space="0" w:color="auto"/>
              <w:right w:val="nil"/>
            </w:tcBorders>
            <w:vAlign w:val="center"/>
            <w:hideMark/>
          </w:tcPr>
          <w:p w:rsidR="002000C0" w:rsidRPr="002000C0" w:rsidRDefault="002000C0" w:rsidP="002000C0">
            <w:pPr>
              <w:jc w:val="center"/>
              <w:rPr>
                <w:rFonts w:eastAsia="Times New Roman" w:cs="Times New Roman"/>
                <w:color w:val="000000"/>
                <w:sz w:val="20"/>
                <w:szCs w:val="22"/>
                <w:lang w:val="id-ID" w:eastAsia="id-ID"/>
              </w:rPr>
            </w:pPr>
            <w:r w:rsidRPr="002000C0">
              <w:rPr>
                <w:rFonts w:eastAsia="Times New Roman" w:cs="Times New Roman"/>
                <w:color w:val="000000"/>
                <w:sz w:val="20"/>
                <w:szCs w:val="22"/>
                <w:lang w:val="id-ID"/>
              </w:rPr>
              <w:t>Rasio Efektivitas (%)</w:t>
            </w:r>
          </w:p>
        </w:tc>
        <w:tc>
          <w:tcPr>
            <w:tcW w:w="1763"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Kriteria</w:t>
            </w:r>
          </w:p>
        </w:tc>
      </w:tr>
      <w:tr w:rsidR="002000C0" w:rsidRPr="002000C0" w:rsidTr="00816EDB">
        <w:trPr>
          <w:trHeight w:val="444"/>
        </w:trPr>
        <w:tc>
          <w:tcPr>
            <w:tcW w:w="1616"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&gt;100</w:t>
            </w:r>
          </w:p>
        </w:tc>
        <w:tc>
          <w:tcPr>
            <w:tcW w:w="1763"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Sangat Efektif</w:t>
            </w:r>
          </w:p>
        </w:tc>
      </w:tr>
      <w:tr w:rsidR="002000C0" w:rsidRPr="002000C0" w:rsidTr="00816EDB">
        <w:trPr>
          <w:trHeight w:val="444"/>
        </w:trPr>
        <w:tc>
          <w:tcPr>
            <w:tcW w:w="1616"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100</w:t>
            </w:r>
          </w:p>
        </w:tc>
        <w:tc>
          <w:tcPr>
            <w:tcW w:w="1763"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Efektif</w:t>
            </w:r>
          </w:p>
        </w:tc>
      </w:tr>
      <w:tr w:rsidR="002000C0" w:rsidRPr="002000C0" w:rsidTr="00816EDB">
        <w:trPr>
          <w:trHeight w:val="444"/>
        </w:trPr>
        <w:tc>
          <w:tcPr>
            <w:tcW w:w="1616"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90 – 99</w:t>
            </w:r>
          </w:p>
        </w:tc>
        <w:tc>
          <w:tcPr>
            <w:tcW w:w="1763" w:type="dxa"/>
            <w:tcBorders>
              <w:top w:val="single" w:sz="4" w:space="0" w:color="auto"/>
              <w:left w:val="nil"/>
              <w:bottom w:val="nil"/>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Cukup Efektif</w:t>
            </w:r>
          </w:p>
        </w:tc>
      </w:tr>
      <w:tr w:rsidR="002000C0" w:rsidRPr="002000C0" w:rsidTr="00816EDB">
        <w:trPr>
          <w:trHeight w:val="444"/>
        </w:trPr>
        <w:tc>
          <w:tcPr>
            <w:tcW w:w="1616"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75 – 89</w:t>
            </w:r>
          </w:p>
        </w:tc>
        <w:tc>
          <w:tcPr>
            <w:tcW w:w="1763"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Kurang Efektif</w:t>
            </w:r>
          </w:p>
        </w:tc>
      </w:tr>
      <w:tr w:rsidR="002000C0" w:rsidRPr="002000C0" w:rsidTr="00816EDB">
        <w:trPr>
          <w:trHeight w:val="444"/>
        </w:trPr>
        <w:tc>
          <w:tcPr>
            <w:tcW w:w="1616"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&lt;75</w:t>
            </w:r>
          </w:p>
        </w:tc>
        <w:tc>
          <w:tcPr>
            <w:tcW w:w="1763"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Tidak Efektif</w:t>
            </w:r>
          </w:p>
        </w:tc>
      </w:tr>
    </w:tbl>
    <w:p w:rsidR="002000C0" w:rsidRPr="00570D64" w:rsidRDefault="002000C0" w:rsidP="002000C0">
      <w:pPr>
        <w:pStyle w:val="JAK22aBODYARTIKEL"/>
        <w:ind w:left="284" w:firstLine="425"/>
        <w:rPr>
          <w:sz w:val="20"/>
          <w:szCs w:val="20"/>
        </w:rPr>
      </w:pPr>
    </w:p>
    <w:p w:rsidR="002000C0" w:rsidRPr="00570D64" w:rsidRDefault="002000C0" w:rsidP="00816EDB">
      <w:pPr>
        <w:pStyle w:val="JAK22aBODYARTIKEL"/>
        <w:ind w:left="284"/>
        <w:rPr>
          <w:sz w:val="20"/>
          <w:szCs w:val="20"/>
        </w:rPr>
      </w:pPr>
      <w:r w:rsidRPr="00570D64">
        <w:rPr>
          <w:sz w:val="20"/>
          <w:szCs w:val="20"/>
        </w:rPr>
        <w:t>Sumber: Data yang diolah (2025)</w:t>
      </w:r>
    </w:p>
    <w:p w:rsidR="002000C0" w:rsidRPr="00570D64" w:rsidRDefault="002000C0" w:rsidP="002000C0">
      <w:pPr>
        <w:pStyle w:val="JAK22aBODYARTIKEL"/>
        <w:ind w:left="284" w:firstLine="425"/>
        <w:rPr>
          <w:sz w:val="20"/>
          <w:szCs w:val="20"/>
        </w:rPr>
      </w:pPr>
    </w:p>
    <w:p w:rsidR="00EC479D" w:rsidRDefault="00EC479D" w:rsidP="00816EDB">
      <w:pPr>
        <w:pStyle w:val="JAK22aBODYARTIKEL"/>
        <w:numPr>
          <w:ilvl w:val="0"/>
          <w:numId w:val="5"/>
        </w:numPr>
        <w:ind w:left="284" w:hanging="284"/>
      </w:pPr>
      <w:r>
        <w:lastRenderedPageBreak/>
        <w:t>Rasio Ketergantungan Keuangan Daerah</w:t>
      </w:r>
    </w:p>
    <w:p w:rsidR="002000C0" w:rsidRDefault="002000C0" w:rsidP="00816EDB">
      <w:pPr>
        <w:pStyle w:val="JAK22aBODYARTIKEL"/>
        <w:ind w:left="284" w:firstLine="425"/>
      </w:pPr>
      <w:r>
        <w:t>Rasio Ketergantungan Keuangan Daerah digunakan untuk mengukur tingkat ketergantungan pemerintah daerah terhadap pendapatan transfer dari pemerintah pusat. Semakin tinggi nilai rasio tersebut, semakin besar pula ketergantungan daerah pada penbdapatan transfer untuk membiayai kebutuhan fiskalnya. Sebaliknya, nilai rasio yang lebih rendah menunjukkan bahwa daerah lebih mampu memenuhi kebutuhan belanjanya melalui pendapatan yang bersumber dari daerah itu sendiri</w:t>
      </w:r>
      <w:r w:rsidR="00A74242">
        <w:t xml:space="preserve"> </w:t>
      </w:r>
      <w:r w:rsidR="00A74242">
        <w:fldChar w:fldCharType="begin" w:fldLock="1"/>
      </w:r>
      <w:r w:rsidR="00A74242">
        <w:instrText>ADDIN CSL_CITATION {"citationItems":[{"id":"ITEM-1","itemData":{"DOI":"10.32662/gaj.v5i2.2414","ISSN":"2614-2074","abstract":"The purpose of writing this article is to determine the level of regional financial dependence in the North Bolaang Mongondow Regency using the method of financial ratio analysis.  The results showed that over 5 years the government of North Bolaang Mongondow Regency relied heavily on transfer funds from external parties to finance regional expenditures with an average percentage of financial dependence of 93.29 percent.  This high percentage rate shows that the contribution of local original income to the total regional income of the North Bolaang Mongondow Regency is still minimal.","author":[{"dropping-particle":"","family":"Abdullah","given":"Julie","non-dropping-particle":"","parse-names":false,"suffix":""},{"dropping-particle":"","family":"Hasan","given":"Wahyudin","non-dropping-particle":"","parse-names":false,"suffix":""}],"container-title":"Gorontalo Accounting Journal","id":"ITEM-1","issue":"2","issued":{"date-parts":[["2022"]]},"page":"208","title":"Tingkat Ketergantungan Keuangan Daerah","type":"article-journal","volume":"5"},"uris":["http://www.mendeley.com/documents/?uuid=3c8827ca-20e8-4150-affe-76ad55ea90fe"]}],"mendeley":{"formattedCitation":"(Abdullah &amp; Hasan, 2022)","plainTextFormattedCitation":"(Abdullah &amp; Hasan, 2022)","previouslyFormattedCitation":"(Abdullah &amp; Hasan, 2022)"},"properties":{"noteIndex":0},"schema":"https://github.com/citation-style-language/schema/raw/master/csl-citation.json"}</w:instrText>
      </w:r>
      <w:r w:rsidR="00A74242">
        <w:fldChar w:fldCharType="separate"/>
      </w:r>
      <w:r w:rsidR="00A74242" w:rsidRPr="00A74242">
        <w:rPr>
          <w:noProof/>
        </w:rPr>
        <w:t>(Abdullah &amp; Hasan, 2022)</w:t>
      </w:r>
      <w:r w:rsidR="00A74242">
        <w:fldChar w:fldCharType="end"/>
      </w:r>
      <w:r>
        <w:t>.</w:t>
      </w:r>
    </w:p>
    <w:p w:rsidR="002000C0" w:rsidRDefault="002000C0" w:rsidP="00816EDB">
      <w:pPr>
        <w:pStyle w:val="JAK22aBODYARTIKEL"/>
        <w:ind w:left="284" w:firstLine="425"/>
      </w:pPr>
      <w:r>
        <w:t>Tingkat kemampuan keuangan daerah berdasarkan rasio ketergantungan ini dapat dikategorikan ke dalam beberapa klasifikasi persentase tertentu. Klasifikasi tersebut disajikan dalam Tabel 6 berikut:</w:t>
      </w:r>
    </w:p>
    <w:p w:rsidR="002000C0" w:rsidRDefault="002000C0" w:rsidP="00816EDB">
      <w:pPr>
        <w:pStyle w:val="JAK22aBODYARTIKEL"/>
        <w:ind w:left="284"/>
        <w:jc w:val="center"/>
      </w:pPr>
      <w:r>
        <w:t>Tabel 6. Klasifikasi Kriteria Rasio Ketergantungan Keuangan Daerah</w:t>
      </w:r>
    </w:p>
    <w:tbl>
      <w:tblPr>
        <w:tblW w:w="3457" w:type="dxa"/>
        <w:tblInd w:w="567" w:type="dxa"/>
        <w:tblLook w:val="04A0" w:firstRow="1" w:lastRow="0" w:firstColumn="1" w:lastColumn="0" w:noHBand="0" w:noVBand="1"/>
      </w:tblPr>
      <w:tblGrid>
        <w:gridCol w:w="1897"/>
        <w:gridCol w:w="1560"/>
      </w:tblGrid>
      <w:tr w:rsidR="002000C0" w:rsidRPr="002000C0" w:rsidTr="00816EDB">
        <w:trPr>
          <w:trHeight w:val="543"/>
        </w:trPr>
        <w:tc>
          <w:tcPr>
            <w:tcW w:w="1897" w:type="dxa"/>
            <w:tcBorders>
              <w:top w:val="single" w:sz="4" w:space="0" w:color="auto"/>
              <w:left w:val="nil"/>
              <w:bottom w:val="single" w:sz="4" w:space="0" w:color="auto"/>
              <w:right w:val="nil"/>
            </w:tcBorders>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Rasio Ketergantungan (%)</w:t>
            </w:r>
          </w:p>
        </w:tc>
        <w:tc>
          <w:tcPr>
            <w:tcW w:w="1560" w:type="dxa"/>
            <w:tcBorders>
              <w:top w:val="single" w:sz="4" w:space="0" w:color="auto"/>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Kriteria</w:t>
            </w:r>
          </w:p>
        </w:tc>
      </w:tr>
      <w:tr w:rsidR="002000C0" w:rsidRPr="002000C0" w:rsidTr="00816EDB">
        <w:trPr>
          <w:trHeight w:val="345"/>
        </w:trPr>
        <w:tc>
          <w:tcPr>
            <w:tcW w:w="189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0,00 - 10,00</w:t>
            </w:r>
          </w:p>
        </w:tc>
        <w:tc>
          <w:tcPr>
            <w:tcW w:w="156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Sangat Rendah</w:t>
            </w:r>
          </w:p>
        </w:tc>
      </w:tr>
      <w:tr w:rsidR="002000C0" w:rsidRPr="002000C0" w:rsidTr="00816EDB">
        <w:trPr>
          <w:trHeight w:val="345"/>
        </w:trPr>
        <w:tc>
          <w:tcPr>
            <w:tcW w:w="189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10,01 - 20,00</w:t>
            </w:r>
          </w:p>
        </w:tc>
        <w:tc>
          <w:tcPr>
            <w:tcW w:w="156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Rendah</w:t>
            </w:r>
          </w:p>
        </w:tc>
      </w:tr>
      <w:tr w:rsidR="002000C0" w:rsidRPr="002000C0" w:rsidTr="00816EDB">
        <w:trPr>
          <w:trHeight w:val="345"/>
        </w:trPr>
        <w:tc>
          <w:tcPr>
            <w:tcW w:w="189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20,01 - 30,00</w:t>
            </w:r>
          </w:p>
        </w:tc>
        <w:tc>
          <w:tcPr>
            <w:tcW w:w="156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Sedang</w:t>
            </w:r>
          </w:p>
        </w:tc>
      </w:tr>
      <w:tr w:rsidR="002000C0" w:rsidRPr="002000C0" w:rsidTr="00816EDB">
        <w:trPr>
          <w:trHeight w:val="345"/>
        </w:trPr>
        <w:tc>
          <w:tcPr>
            <w:tcW w:w="189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30,01 - 40,00</w:t>
            </w:r>
          </w:p>
        </w:tc>
        <w:tc>
          <w:tcPr>
            <w:tcW w:w="156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Cukup</w:t>
            </w:r>
          </w:p>
        </w:tc>
      </w:tr>
      <w:tr w:rsidR="002000C0" w:rsidRPr="002000C0" w:rsidTr="00816EDB">
        <w:trPr>
          <w:trHeight w:val="345"/>
        </w:trPr>
        <w:tc>
          <w:tcPr>
            <w:tcW w:w="189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40,01 - 50,00</w:t>
            </w:r>
          </w:p>
        </w:tc>
        <w:tc>
          <w:tcPr>
            <w:tcW w:w="156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Tinggi</w:t>
            </w:r>
          </w:p>
        </w:tc>
      </w:tr>
      <w:tr w:rsidR="002000C0" w:rsidRPr="002000C0" w:rsidTr="00816EDB">
        <w:trPr>
          <w:trHeight w:val="345"/>
        </w:trPr>
        <w:tc>
          <w:tcPr>
            <w:tcW w:w="1897"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&gt;50,00</w:t>
            </w:r>
          </w:p>
        </w:tc>
        <w:tc>
          <w:tcPr>
            <w:tcW w:w="1560" w:type="dxa"/>
            <w:tcBorders>
              <w:top w:val="nil"/>
              <w:left w:val="nil"/>
              <w:bottom w:val="single" w:sz="4" w:space="0" w:color="auto"/>
              <w:right w:val="nil"/>
            </w:tcBorders>
            <w:noWrap/>
            <w:vAlign w:val="center"/>
            <w:hideMark/>
          </w:tcPr>
          <w:p w:rsidR="002000C0" w:rsidRPr="002000C0" w:rsidRDefault="002000C0" w:rsidP="002000C0">
            <w:pPr>
              <w:jc w:val="center"/>
              <w:rPr>
                <w:rFonts w:eastAsia="Times New Roman" w:cs="Times New Roman"/>
                <w:color w:val="000000"/>
                <w:sz w:val="20"/>
                <w:szCs w:val="22"/>
                <w:lang w:val="id-ID"/>
              </w:rPr>
            </w:pPr>
            <w:r w:rsidRPr="002000C0">
              <w:rPr>
                <w:rFonts w:eastAsia="Times New Roman" w:cs="Times New Roman"/>
                <w:color w:val="000000"/>
                <w:sz w:val="20"/>
                <w:szCs w:val="22"/>
                <w:lang w:val="id-ID"/>
              </w:rPr>
              <w:t>Sangat Tinggi</w:t>
            </w:r>
          </w:p>
        </w:tc>
      </w:tr>
    </w:tbl>
    <w:p w:rsidR="002000C0" w:rsidRPr="00570D64" w:rsidRDefault="002000C0" w:rsidP="002000C0">
      <w:pPr>
        <w:pStyle w:val="JAK22aBODYARTIKEL"/>
        <w:ind w:left="284" w:firstLine="425"/>
        <w:rPr>
          <w:sz w:val="20"/>
          <w:szCs w:val="20"/>
        </w:rPr>
      </w:pPr>
    </w:p>
    <w:p w:rsidR="002000C0" w:rsidRPr="00570D64" w:rsidRDefault="002000C0" w:rsidP="00816EDB">
      <w:pPr>
        <w:pStyle w:val="JAK22aBODYARTIKEL"/>
        <w:ind w:left="284"/>
        <w:rPr>
          <w:sz w:val="20"/>
          <w:szCs w:val="20"/>
        </w:rPr>
      </w:pPr>
      <w:r w:rsidRPr="00570D64">
        <w:rPr>
          <w:sz w:val="20"/>
          <w:szCs w:val="20"/>
        </w:rPr>
        <w:t>Sumber: Data yang diolah (2025)</w:t>
      </w:r>
    </w:p>
    <w:p w:rsidR="002000C0" w:rsidRPr="00570D64" w:rsidRDefault="002000C0" w:rsidP="002000C0">
      <w:pPr>
        <w:pStyle w:val="JAK22aBODYARTIKEL"/>
        <w:ind w:left="284" w:firstLine="425"/>
        <w:rPr>
          <w:sz w:val="20"/>
          <w:szCs w:val="20"/>
        </w:rPr>
      </w:pPr>
    </w:p>
    <w:p w:rsidR="00EC479D" w:rsidRPr="002000C0" w:rsidRDefault="00EC479D" w:rsidP="00816EDB">
      <w:pPr>
        <w:pStyle w:val="JAK22aBODYARTIKEL"/>
        <w:numPr>
          <w:ilvl w:val="0"/>
          <w:numId w:val="5"/>
        </w:numPr>
        <w:ind w:left="284" w:hanging="284"/>
      </w:pPr>
      <w:r>
        <w:t xml:space="preserve">Analisis </w:t>
      </w:r>
      <w:r w:rsidRPr="00EC479D">
        <w:rPr>
          <w:i/>
        </w:rPr>
        <w:t>Share</w:t>
      </w:r>
    </w:p>
    <w:p w:rsidR="002000C0" w:rsidRPr="002000C0" w:rsidRDefault="002000C0" w:rsidP="00816EDB">
      <w:pPr>
        <w:ind w:left="284" w:firstLine="425"/>
        <w:jc w:val="both"/>
        <w:rPr>
          <w:rFonts w:eastAsia="Times New Roman"/>
        </w:rPr>
      </w:pPr>
      <w:r w:rsidRPr="002000C0">
        <w:rPr>
          <w:rFonts w:eastAsia="Times New Roman"/>
        </w:rPr>
        <w:t>Penilaian</w:t>
      </w:r>
      <w:r>
        <w:rPr>
          <w:rFonts w:eastAsia="Times New Roman"/>
        </w:rPr>
        <w:t xml:space="preserve"> terhadap tinggi atau rendahnya nilai </w:t>
      </w:r>
      <w:r w:rsidRPr="00F87E8A">
        <w:rPr>
          <w:rFonts w:eastAsia="Times New Roman"/>
          <w:i/>
        </w:rPr>
        <w:t>share</w:t>
      </w:r>
      <w:r>
        <w:rPr>
          <w:rFonts w:eastAsia="Times New Roman"/>
        </w:rPr>
        <w:t xml:space="preserve"> dilakukan dengan </w:t>
      </w:r>
      <w:r w:rsidRPr="002000C0">
        <w:rPr>
          <w:rFonts w:eastAsia="Times New Roman"/>
        </w:rPr>
        <w:t>memba</w:t>
      </w:r>
      <w:r>
        <w:rPr>
          <w:rFonts w:eastAsia="Times New Roman"/>
        </w:rPr>
        <w:t xml:space="preserve">ndingkannya terhadap nilai rata </w:t>
      </w:r>
      <w:r w:rsidRPr="002000C0">
        <w:rPr>
          <w:rFonts w:eastAsia="Times New Roman"/>
        </w:rPr>
        <w:t xml:space="preserve">rata. Nilai </w:t>
      </w:r>
      <w:r w:rsidRPr="00F87E8A">
        <w:rPr>
          <w:rFonts w:eastAsia="Times New Roman"/>
          <w:i/>
        </w:rPr>
        <w:t>share</w:t>
      </w:r>
      <w:r w:rsidRPr="002000C0">
        <w:rPr>
          <w:rFonts w:eastAsia="Times New Roman"/>
        </w:rPr>
        <w:t xml:space="preserve"> yang tinggi mencerminkan besarnya kontribusi PAD terhadap total belanja daerah, yang menunjukkan tingkat kemandirian fiskal yang lebih kuat. Sebaliknya, nilai share yang rendah mengindikasikan ketergantungan yang lebih besar pada sumber pendapatan lain, seperti transfer dari pemerintah pusat atau bantuan antar </w:t>
      </w:r>
      <w:r w:rsidRPr="002000C0">
        <w:rPr>
          <w:rFonts w:eastAsia="Times New Roman"/>
        </w:rPr>
        <w:lastRenderedPageBreak/>
        <w:t xml:space="preserve">daerah </w:t>
      </w:r>
      <w:r w:rsidR="00A74242">
        <w:rPr>
          <w:rFonts w:eastAsia="Times New Roman"/>
        </w:rPr>
        <w:fldChar w:fldCharType="begin" w:fldLock="1"/>
      </w:r>
      <w:r w:rsidR="00A74242">
        <w:rPr>
          <w:rFonts w:eastAsia="Times New Roman"/>
        </w:rPr>
        <w:instrText>ADDIN CSL_CITATION {"citationItems":[{"id":"ITEM-1","itemData":{"DOI":"10.55606/jurimea.v5i2.957","ISSN":"2827-8119","abstract":"This study aims to analyze the financial performance of the West Java Provincial Government using financial ratio analysis based on the Regional Budget (APBD) for the fiscal years 2020–2024. The research employs a descriptive quantitative method using secondary data from the Budget Realization Report. The analysis includes five financial ratios: fiscal independence, degree of fiscal decentralization, PAD effectiveness, expenditure harmony, and the share and growth of locally generated revenue (PAD). The results show that West Java’s financial performance is categorized as moderately good, with an increasing level of fiscal independence, although PAD effectiveness remains suboptimal. The fiscal capacity mapping places the province in quadrant II, indicating high PAD growth but a contribution level that still requires improvement. These findings reflect strong fiscal potential that needs more focused management strategies.","author":[{"dropping-particle":"","family":"Naning Setiani","given":"","non-dropping-particle":"","parse-names":false,"suffix":""},{"dropping-particle":"","family":"Aris Eddy Sarwono","given":"","non-dropping-particle":"","parse-names":false,"suffix":""}],"container-title":"Jurnal Ilmiah Manajemen, Ekonomi dan Akuntansi","id":"ITEM-1","issue":"2","issued":{"date-parts":[["2025"]]},"page":"233-246","title":"Analisis Rasio Keuangan Apbd Untuk Menilai Kinerja Keuangan Pemerintah Provinsi Jawa Barat Tahun Angaran 2020-2024","type":"article-journal","volume":"5"},"uris":["http://www.mendeley.com/documents/?uuid=1a2ff008-d0aa-4214-a397-a9181a07dde6"]}],"mendeley":{"formattedCitation":"(Naning Setiani &amp; Aris Eddy Sarwono, 2025)","plainTextFormattedCitation":"(Naning Setiani &amp; Aris Eddy Sarwono, 2025)","previouslyFormattedCitation":"(Naning Setiani &amp; Aris Eddy Sarwono, 2025)"},"properties":{"noteIndex":0},"schema":"https://github.com/citation-style-language/schema/raw/master/csl-citation.json"}</w:instrText>
      </w:r>
      <w:r w:rsidR="00A74242">
        <w:rPr>
          <w:rFonts w:eastAsia="Times New Roman"/>
        </w:rPr>
        <w:fldChar w:fldCharType="separate"/>
      </w:r>
      <w:r w:rsidR="00A74242" w:rsidRPr="00A74242">
        <w:rPr>
          <w:rFonts w:eastAsia="Times New Roman"/>
          <w:noProof/>
        </w:rPr>
        <w:t>(Naning Setiani &amp; Aris Eddy Sarwono, 2025)</w:t>
      </w:r>
      <w:r w:rsidR="00A74242">
        <w:rPr>
          <w:rFonts w:eastAsia="Times New Roman"/>
        </w:rPr>
        <w:fldChar w:fldCharType="end"/>
      </w:r>
      <w:r w:rsidR="00A74242">
        <w:rPr>
          <w:rFonts w:eastAsia="Times New Roman"/>
        </w:rPr>
        <w:t>.</w:t>
      </w:r>
    </w:p>
    <w:p w:rsidR="00EC479D" w:rsidRPr="00816EDB" w:rsidRDefault="00EC479D" w:rsidP="00816EDB">
      <w:pPr>
        <w:pStyle w:val="JAK22aBODYARTIKEL"/>
        <w:numPr>
          <w:ilvl w:val="0"/>
          <w:numId w:val="5"/>
        </w:numPr>
        <w:ind w:left="284" w:hanging="284"/>
      </w:pPr>
      <w:r>
        <w:t xml:space="preserve">Analisis </w:t>
      </w:r>
      <w:r w:rsidRPr="00EC479D">
        <w:rPr>
          <w:i/>
        </w:rPr>
        <w:t>Growth</w:t>
      </w:r>
    </w:p>
    <w:p w:rsidR="00816EDB" w:rsidRPr="00816EDB" w:rsidRDefault="00816EDB" w:rsidP="00816EDB">
      <w:pPr>
        <w:pStyle w:val="JAK22aBODYARTIKEL"/>
        <w:ind w:left="284" w:firstLine="425"/>
      </w:pPr>
      <w:r w:rsidRPr="00816EDB">
        <w:t xml:space="preserve">Penentuan tinggi atau rendahnya nilai </w:t>
      </w:r>
      <w:r w:rsidRPr="00F87E8A">
        <w:rPr>
          <w:i/>
        </w:rPr>
        <w:t>growth</w:t>
      </w:r>
      <w:r w:rsidRPr="00816EDB">
        <w:t xml:space="preserve"> dilakukan dengan membandingkan hasilnya terhadap nilai rata-rata. Jika nilai </w:t>
      </w:r>
      <w:r w:rsidRPr="00F87E8A">
        <w:rPr>
          <w:i/>
        </w:rPr>
        <w:t>growth</w:t>
      </w:r>
      <w:r w:rsidRPr="00816EDB">
        <w:t xml:space="preserve"> pada tahun tersebut berada di atas rata-rata, maka dikategorikan tinggi. Sebaliknya, jika nilai </w:t>
      </w:r>
      <w:r w:rsidRPr="00F87E8A">
        <w:rPr>
          <w:i/>
        </w:rPr>
        <w:t>growth</w:t>
      </w:r>
      <w:r w:rsidRPr="00816EDB">
        <w:t xml:space="preserve"> pada tahun tersebut berada di bawah rata-rata, maka dikategorikan rendah. Selain itu, apabila nilai </w:t>
      </w:r>
      <w:r w:rsidRPr="00F87E8A">
        <w:rPr>
          <w:i/>
        </w:rPr>
        <w:t>growth</w:t>
      </w:r>
      <w:r w:rsidRPr="00816EDB">
        <w:t xml:space="preserve"> menunjukkan angka positif secara konsisten setiap tahun, hal ini menggambarkan kemampuan daerah dalam meningkatkan dan mempertahankan PAD, sehingga mencerminkan potensi pertumbuhan ekonomi yang baik</w:t>
      </w:r>
      <w:r w:rsidR="00A74242">
        <w:t xml:space="preserve"> </w:t>
      </w:r>
      <w:r w:rsidR="00A74242">
        <w:fldChar w:fldCharType="begin" w:fldLock="1"/>
      </w:r>
      <w:r w:rsidR="00A74242">
        <w:instrText>ADDIN CSL_CITATION {"citationItems":[{"id":"ITEM-1","itemData":{"DOI":"10.25273/inventory.v4i2.7667","ISSN":"2597-7202","abstract":"&lt;p&gt;&lt;em&gt;Implementation of this research aims to analyze the rate of growth and effectiveness of the acceptance&lt;/em&gt;&lt;em&gt; of the test retribution of motor vehicles (PKB) at the District Transportation Service Malang in 2015 to 2019. In this study techniques in collecting data IE primary data and secondary data. Based on the results of documentation, interviews and observations on the Transportation Service Department of Motor vehicle testing&lt;/em&gt;&lt;em&gt;. Based on the results of research that has been done shows the level of growth of motor vehicle testing in Malang district from 2015 to 2019 with an average of 6.83% (positive category). Percentage rate of growth in the matrix of potential retribution of motorised vehicle test is included in the prime category so that it becomes the mainstay sector for Malang Regency government. As well as belonging to the developing category because of its potential contribution to increased growth rate (positive). Calculation results at the level of effectiveness during the year 2015 to 2019 shows an average of 102.19%. Percentage level of effectiveness demonstrated the performance of the district government of Malang in the Department of Transportation in receipt of the test retribution of motor vehicles, including the category is very effective on every duty and capable of management and managing the acceptance of the test retribution of motor vehicles.&lt;/em&gt;&lt;/p&gt;&lt;p&gt;&lt;em&gt;&lt;/em&gt;&lt;strong&gt;&lt;em&gt;Keywords;&lt;/em&gt;&lt;/strong&gt;&lt;em&gt; Growth Rate; Effectiveness; Motorized Vehicle Testing Levies&lt;/em&gt;&lt;/p&gt;&lt;p&gt; &lt;/p&gt;","author":[{"dropping-particle":"","family":"Amaliyah","given":"Angguliyah Rizqi","non-dropping-particle":"","parse-names":false,"suffix":""}],"container-title":"Inventory: Jurnal Akuntansi","id":"ITEM-1","issue":"2","issued":{"date-parts":[["2020"]]},"page":"96","title":"Analisis Laju Pertumbuhan Dan Efektifitas Penerimaan Retrisubi Pengujian Kendaraan Bermotor Pada Dinas Perhubungan Kabupaten Malang","type":"article-journal","volume":"4"},"uris":["http://www.mendeley.com/documents/?uuid=a875493e-e06b-49f5-adf7-7119b0acc208"]}],"mendeley":{"formattedCitation":"(Amaliyah, 2020)","plainTextFormattedCitation":"(Amaliyah, 2020)","previouslyFormattedCitation":"(Amaliyah, 2020)"},"properties":{"noteIndex":0},"schema":"https://github.com/citation-style-language/schema/raw/master/csl-citation.json"}</w:instrText>
      </w:r>
      <w:r w:rsidR="00A74242">
        <w:fldChar w:fldCharType="separate"/>
      </w:r>
      <w:r w:rsidR="00A74242" w:rsidRPr="00A74242">
        <w:rPr>
          <w:noProof/>
        </w:rPr>
        <w:t>(Amaliyah, 2020)</w:t>
      </w:r>
      <w:r w:rsidR="00A74242">
        <w:fldChar w:fldCharType="end"/>
      </w:r>
      <w:r w:rsidRPr="00816EDB">
        <w:t>.</w:t>
      </w:r>
    </w:p>
    <w:p w:rsidR="00EC479D" w:rsidRDefault="00EC479D" w:rsidP="00816EDB">
      <w:pPr>
        <w:pStyle w:val="JAK22aBODYARTIKEL"/>
        <w:numPr>
          <w:ilvl w:val="0"/>
          <w:numId w:val="5"/>
        </w:numPr>
        <w:ind w:left="284" w:hanging="284"/>
      </w:pPr>
      <w:r>
        <w:t>Klasifikasi Kuadran</w:t>
      </w:r>
    </w:p>
    <w:p w:rsidR="00816EDB" w:rsidRDefault="00816EDB" w:rsidP="00816EDB">
      <w:pPr>
        <w:pStyle w:val="JAK22aBODYARTIKEL"/>
        <w:ind w:left="284" w:firstLine="425"/>
      </w:pPr>
      <w:r w:rsidRPr="00816EDB">
        <w:t>Klasifikasi kuadran ini digunakan untuk menganalisis kondisi keuangan daerah dengan memperhatikan dua indikator utama, yaitu share (kontribusi PAD terhadap total pendapatan) dan growth (tingkat pertumbuhan PAD)</w:t>
      </w:r>
      <w:r w:rsidR="00A74242">
        <w:t xml:space="preserve"> </w:t>
      </w:r>
      <w:r w:rsidR="00A74242">
        <w:fldChar w:fldCharType="begin" w:fldLock="1"/>
      </w:r>
      <w:r w:rsidR="00A74242">
        <w:instrText>ADDIN CSL_CITATION {"citationItems":[{"id":"ITEM-1","itemData":{"DOI":"10.31539/costing.v7i5.11672","ISSN":"2597-5226","abstract":"ABSTRAK\r Kemampuan keuangan daerah memiliki peran yang sangat penting dalam menunjang keberhasilan otonomi daerah. Kemampuan keuangan daerah menjadi indikator kemandirian ekonomi daerah, yang secara langsung berdampak pada peningkatan kesejahteraan masyarakat. Kemampuan keuangan daerah daerah sering diukur dengan menggunakan kinerja keuangan daerah, berupa rasio keuangan yang didapatkan dari realisasi Anggaran Pendapatan dan Belanja Daerah (APBD). Jenis data adalah data sekunder berupa data Laporan Realisasi Anggaran seluruh Kabupaten/Kota Tahun Anggaran 2018-2022. Metode analisis data menggunakan analisis model deskriptif kuantitatif, dengan menggunakan Rasio Kemandirian Keuangan Daerah, Rasio Desentralisasi Fiskal, dan Indeks Kemampuan Keuangan Daerah. Selain itu juga untuk mengetahui faktor-faktor yang mempengaruhi kemampuan keuangan daerah, serta upaya peningkatan kemampuan keuangan daerah. Hasil penelitian menunjukkan rasio kemandirian terdapat 23 pemerintah daerah, masuk pada kategori rendah sekali dengan nilai di bawah 25%. Rasio Desentralisasi Fiskal terdapat 23 pemerintah daerah, masuk pada kategori Kurang dengan nilai 10,01% - 20%. Pada Kuadran Share-Growth terdapat 22 pemerintah daerah, masuk Kuadran I dengan kategori Share Tinggi dan Growth Tinggi. Faktor dominasi sektor pertanian, perlu dilakukan pengembangan agroindustri, agrowisata, dan bioteknologi. Faktor ketergantungan pada satu sektor ekonomi, perlu mengidentifikasi potensi, penguatan SDM, memperkuat UMKM, serta kerjasama dengan pihak swasta. Faktor Pandemi Covid-19, perlu meningkatkan transformasi digital. Faktor rendahnya kesadaran membayar pajak perlu edukasi dan sosialisasi pentingnya pajak daerah. Faktor kurangnya penggunaan teknologi informasi harus disesuaikan dengan kondisi kebutuhan daerah.","author":[{"dropping-particle":"","family":"Suryahadi","given":"M Yuswardhanu","non-dropping-particle":"","parse-names":false,"suffix":""},{"dropping-particle":"","family":"Santosa","given":"Agus Budi","non-dropping-particle":"","parse-names":false,"suffix":""}],"container-title":"Journal of Economic, Bussines and Accounting (COSTING)","id":"ITEM-1","issue":"5","issued":{"date-parts":[["2024"]]},"page":"1060-1071","title":"Analisis Kemampuan Keuangan Daerah Kabupaten/Kota Di Provinsi Jawa Tengah Dalam Pelaksanaan Otonomi Daerah Tahun 2018-2022","type":"article-journal","volume":"7"},"uris":["http://www.mendeley.com/documents/?uuid=218c76f4-8d4e-48a8-a21d-89819d13a30f"]}],"mendeley":{"formattedCitation":"(Suryahadi &amp; Santosa, 2024)","plainTextFormattedCitation":"(Suryahadi &amp; Santosa, 2024)","previouslyFormattedCitation":"(Suryahadi &amp; Santosa, 2024)"},"properties":{"noteIndex":0},"schema":"https://github.com/citation-style-language/schema/raw/master/csl-citation.json"}</w:instrText>
      </w:r>
      <w:r w:rsidR="00A74242">
        <w:fldChar w:fldCharType="separate"/>
      </w:r>
      <w:r w:rsidR="00A74242" w:rsidRPr="00A74242">
        <w:rPr>
          <w:noProof/>
        </w:rPr>
        <w:t>(Suryahadi &amp; Santosa, 2024)</w:t>
      </w:r>
      <w:r w:rsidR="00A74242">
        <w:fldChar w:fldCharType="end"/>
      </w:r>
      <w:r w:rsidRPr="00816EDB">
        <w:t>. Berdasarkan kombinasi kedua indikator ini, kondisi keuangan daerah dibagi ke dalam empat kuadran, sebagaimana ditunjukkan pada Gambar 1 berikut:</w:t>
      </w:r>
    </w:p>
    <w:p w:rsidR="00816EDB" w:rsidRDefault="00816EDB" w:rsidP="00816EDB">
      <w:pPr>
        <w:pStyle w:val="JAK22aBODYARTIKEL"/>
        <w:ind w:left="284"/>
      </w:pPr>
    </w:p>
    <w:tbl>
      <w:tblPr>
        <w:tblW w:w="3843" w:type="dxa"/>
        <w:tblInd w:w="284" w:type="dxa"/>
        <w:tblLook w:val="04A0" w:firstRow="1" w:lastRow="0" w:firstColumn="1" w:lastColumn="0" w:noHBand="0" w:noVBand="1"/>
      </w:tblPr>
      <w:tblGrid>
        <w:gridCol w:w="713"/>
        <w:gridCol w:w="1564"/>
        <w:gridCol w:w="1566"/>
      </w:tblGrid>
      <w:tr w:rsidR="00816EDB" w:rsidRPr="00FB3C91" w:rsidTr="009F2228">
        <w:trPr>
          <w:trHeight w:val="384"/>
        </w:trPr>
        <w:tc>
          <w:tcPr>
            <w:tcW w:w="713" w:type="dxa"/>
            <w:noWrap/>
            <w:vAlign w:val="center"/>
            <w:hideMark/>
          </w:tcPr>
          <w:p w:rsidR="00816EDB" w:rsidRPr="00FB3C91" w:rsidRDefault="00816EDB" w:rsidP="00674D36">
            <w:pPr>
              <w:rPr>
                <w:rFonts w:eastAsia="Times New Roman"/>
                <w:sz w:val="20"/>
              </w:rPr>
            </w:pPr>
          </w:p>
        </w:tc>
        <w:tc>
          <w:tcPr>
            <w:tcW w:w="3130" w:type="dxa"/>
            <w:gridSpan w:val="2"/>
            <w:noWrap/>
            <w:hideMark/>
          </w:tcPr>
          <w:p w:rsidR="00816EDB" w:rsidRPr="00FB3C91" w:rsidRDefault="00816EDB" w:rsidP="00674D36">
            <w:pPr>
              <w:jc w:val="center"/>
              <w:rPr>
                <w:rFonts w:eastAsia="Times New Roman"/>
                <w:i/>
                <w:iCs/>
                <w:color w:val="000000"/>
                <w:sz w:val="20"/>
                <w:lang w:val="id-ID"/>
              </w:rPr>
            </w:pPr>
            <w:r w:rsidRPr="00FB3C91">
              <w:rPr>
                <w:rFonts w:eastAsia="Times New Roman"/>
                <w:i/>
                <w:iCs/>
                <w:color w:val="000000"/>
                <w:sz w:val="20"/>
                <w:lang w:val="id-ID"/>
              </w:rPr>
              <w:t>Growth</w:t>
            </w:r>
          </w:p>
        </w:tc>
      </w:tr>
      <w:tr w:rsidR="009F2228" w:rsidRPr="00FB3C91" w:rsidTr="009F2228">
        <w:trPr>
          <w:trHeight w:val="384"/>
        </w:trPr>
        <w:tc>
          <w:tcPr>
            <w:tcW w:w="713" w:type="dxa"/>
            <w:noWrap/>
            <w:vAlign w:val="center"/>
            <w:hideMark/>
          </w:tcPr>
          <w:p w:rsidR="00816EDB" w:rsidRPr="00FB3C91" w:rsidRDefault="00816EDB" w:rsidP="00674D36">
            <w:pPr>
              <w:rPr>
                <w:rFonts w:eastAsia="Times New Roman"/>
                <w:i/>
                <w:iCs/>
                <w:color w:val="000000"/>
                <w:sz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b/>
                <w:bCs/>
                <w:color w:val="000000"/>
                <w:sz w:val="20"/>
                <w:lang w:val="id-ID"/>
              </w:rPr>
            </w:pPr>
            <w:r w:rsidRPr="00FB3C91">
              <w:rPr>
                <w:rFonts w:eastAsia="Times New Roman"/>
                <w:b/>
                <w:bCs/>
                <w:color w:val="000000"/>
                <w:sz w:val="20"/>
                <w:lang w:val="id-ID"/>
              </w:rPr>
              <w:t>Kuadran II</w:t>
            </w:r>
          </w:p>
        </w:tc>
        <w:tc>
          <w:tcPr>
            <w:tcW w:w="1566" w:type="dxa"/>
            <w:noWrap/>
            <w:vAlign w:val="center"/>
            <w:hideMark/>
          </w:tcPr>
          <w:p w:rsidR="00816EDB" w:rsidRPr="00FB3C91" w:rsidRDefault="00816EDB" w:rsidP="00674D36">
            <w:pPr>
              <w:jc w:val="center"/>
              <w:rPr>
                <w:rFonts w:eastAsia="Times New Roman"/>
                <w:b/>
                <w:bCs/>
                <w:color w:val="000000"/>
                <w:sz w:val="20"/>
                <w:lang w:val="id-ID"/>
              </w:rPr>
            </w:pPr>
            <w:r w:rsidRPr="00FB3C91">
              <w:rPr>
                <w:rFonts w:eastAsia="Times New Roman"/>
                <w:b/>
                <w:bCs/>
                <w:color w:val="000000"/>
                <w:sz w:val="20"/>
                <w:lang w:val="id-ID"/>
              </w:rPr>
              <w:t>Kuadran I</w:t>
            </w:r>
          </w:p>
        </w:tc>
      </w:tr>
      <w:tr w:rsidR="009F2228" w:rsidRPr="00FB3C91" w:rsidTr="009F2228">
        <w:trPr>
          <w:trHeight w:val="201"/>
        </w:trPr>
        <w:tc>
          <w:tcPr>
            <w:tcW w:w="713" w:type="dxa"/>
            <w:noWrap/>
            <w:vAlign w:val="center"/>
            <w:hideMark/>
          </w:tcPr>
          <w:p w:rsidR="00816EDB" w:rsidRPr="00FB3C91" w:rsidRDefault="00816EDB" w:rsidP="00674D36">
            <w:pPr>
              <w:rPr>
                <w:rFonts w:eastAsia="Times New Roman"/>
                <w:b/>
                <w:bCs/>
                <w:color w:val="000000"/>
                <w:sz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color w:val="000000"/>
                <w:sz w:val="20"/>
                <w:lang w:val="id-ID"/>
              </w:rPr>
              <w:t> </w:t>
            </w:r>
          </w:p>
        </w:tc>
        <w:tc>
          <w:tcPr>
            <w:tcW w:w="1566" w:type="dxa"/>
            <w:noWrap/>
            <w:vAlign w:val="center"/>
            <w:hideMark/>
          </w:tcPr>
          <w:p w:rsidR="00816EDB" w:rsidRPr="00FB3C91" w:rsidRDefault="00816EDB" w:rsidP="00674D36">
            <w:pPr>
              <w:rPr>
                <w:rFonts w:eastAsia="Times New Roman"/>
                <w:color w:val="000000"/>
                <w:sz w:val="20"/>
                <w:lang w:val="id-ID"/>
              </w:rPr>
            </w:pPr>
          </w:p>
        </w:tc>
      </w:tr>
      <w:tr w:rsidR="009F2228" w:rsidRPr="00FB3C91" w:rsidTr="009F2228">
        <w:trPr>
          <w:trHeight w:val="384"/>
        </w:trPr>
        <w:tc>
          <w:tcPr>
            <w:tcW w:w="713" w:type="dxa"/>
            <w:noWrap/>
            <w:vAlign w:val="center"/>
            <w:hideMark/>
          </w:tcPr>
          <w:p w:rsidR="00816EDB" w:rsidRPr="00FB3C91" w:rsidRDefault="00816EDB" w:rsidP="00674D36">
            <w:pPr>
              <w:rPr>
                <w:sz w:val="20"/>
                <w:szCs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Share</w:t>
            </w:r>
            <w:r w:rsidRPr="00FB3C91">
              <w:rPr>
                <w:rFonts w:eastAsia="Times New Roman"/>
                <w:color w:val="000000"/>
                <w:sz w:val="20"/>
                <w:lang w:val="id-ID"/>
              </w:rPr>
              <w:t xml:space="preserve"> Rendah,</w:t>
            </w:r>
          </w:p>
        </w:tc>
        <w:tc>
          <w:tcPr>
            <w:tcW w:w="1566" w:type="dxa"/>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Share</w:t>
            </w:r>
            <w:r w:rsidRPr="00FB3C91">
              <w:rPr>
                <w:rFonts w:eastAsia="Times New Roman"/>
                <w:color w:val="000000"/>
                <w:sz w:val="20"/>
                <w:lang w:val="id-ID"/>
              </w:rPr>
              <w:t xml:space="preserve"> Tinggi,</w:t>
            </w:r>
          </w:p>
        </w:tc>
      </w:tr>
      <w:tr w:rsidR="009F2228" w:rsidRPr="00FB3C91" w:rsidTr="009F2228">
        <w:trPr>
          <w:trHeight w:val="384"/>
        </w:trPr>
        <w:tc>
          <w:tcPr>
            <w:tcW w:w="713" w:type="dxa"/>
            <w:noWrap/>
            <w:vAlign w:val="center"/>
            <w:hideMark/>
          </w:tcPr>
          <w:p w:rsidR="00816EDB" w:rsidRPr="00FB3C91" w:rsidRDefault="00816EDB" w:rsidP="00674D36">
            <w:pPr>
              <w:rPr>
                <w:rFonts w:eastAsia="Times New Roman"/>
                <w:color w:val="000000"/>
                <w:sz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Growth</w:t>
            </w:r>
            <w:r w:rsidRPr="00FB3C91">
              <w:rPr>
                <w:rFonts w:eastAsia="Times New Roman"/>
                <w:color w:val="000000"/>
                <w:sz w:val="20"/>
                <w:lang w:val="id-ID"/>
              </w:rPr>
              <w:t xml:space="preserve"> Tinggi</w:t>
            </w:r>
          </w:p>
        </w:tc>
        <w:tc>
          <w:tcPr>
            <w:tcW w:w="1566" w:type="dxa"/>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Growth</w:t>
            </w:r>
            <w:r w:rsidRPr="00FB3C91">
              <w:rPr>
                <w:rFonts w:eastAsia="Times New Roman"/>
                <w:color w:val="000000"/>
                <w:sz w:val="20"/>
                <w:lang w:val="id-ID"/>
              </w:rPr>
              <w:t xml:space="preserve"> Tinggi</w:t>
            </w:r>
          </w:p>
        </w:tc>
      </w:tr>
      <w:tr w:rsidR="009F2228" w:rsidRPr="00FB3C91" w:rsidTr="009F2228">
        <w:trPr>
          <w:trHeight w:val="99"/>
        </w:trPr>
        <w:tc>
          <w:tcPr>
            <w:tcW w:w="713" w:type="dxa"/>
            <w:vMerge w:val="restart"/>
            <w:noWrap/>
            <w:vAlign w:val="center"/>
            <w:hideMark/>
          </w:tcPr>
          <w:p w:rsidR="00816EDB" w:rsidRPr="00FB3C91" w:rsidRDefault="00816EDB" w:rsidP="00674D36">
            <w:pPr>
              <w:jc w:val="center"/>
              <w:rPr>
                <w:rFonts w:eastAsia="Times New Roman"/>
                <w:i/>
                <w:iCs/>
                <w:color w:val="000000"/>
                <w:sz w:val="20"/>
                <w:lang w:val="id-ID"/>
              </w:rPr>
            </w:pPr>
            <w:r w:rsidRPr="00FB3C91">
              <w:rPr>
                <w:rFonts w:eastAsia="Times New Roman"/>
                <w:i/>
                <w:iCs/>
                <w:color w:val="000000"/>
                <w:sz w:val="20"/>
                <w:lang w:val="id-ID"/>
              </w:rPr>
              <w:t>Share</w:t>
            </w: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10"/>
                <w:szCs w:val="10"/>
                <w:lang w:val="id-ID"/>
              </w:rPr>
            </w:pPr>
            <w:r w:rsidRPr="00FB3C91">
              <w:rPr>
                <w:rFonts w:eastAsia="Times New Roman"/>
                <w:color w:val="000000"/>
                <w:sz w:val="10"/>
                <w:szCs w:val="10"/>
                <w:lang w:val="id-ID"/>
              </w:rPr>
              <w:t> </w:t>
            </w:r>
          </w:p>
        </w:tc>
        <w:tc>
          <w:tcPr>
            <w:tcW w:w="1566" w:type="dxa"/>
            <w:noWrap/>
            <w:vAlign w:val="center"/>
            <w:hideMark/>
          </w:tcPr>
          <w:p w:rsidR="00816EDB" w:rsidRPr="00FB3C91" w:rsidRDefault="00816EDB" w:rsidP="00674D36">
            <w:pPr>
              <w:rPr>
                <w:rFonts w:eastAsia="Times New Roman"/>
                <w:color w:val="000000"/>
                <w:sz w:val="10"/>
                <w:szCs w:val="10"/>
                <w:lang w:val="id-ID"/>
              </w:rPr>
            </w:pPr>
          </w:p>
        </w:tc>
      </w:tr>
      <w:tr w:rsidR="009F2228" w:rsidRPr="00FB3C91" w:rsidTr="009F2228">
        <w:trPr>
          <w:trHeight w:val="87"/>
        </w:trPr>
        <w:tc>
          <w:tcPr>
            <w:tcW w:w="713" w:type="dxa"/>
            <w:vMerge/>
            <w:vAlign w:val="center"/>
            <w:hideMark/>
          </w:tcPr>
          <w:p w:rsidR="00816EDB" w:rsidRPr="00FB3C91" w:rsidRDefault="00816EDB" w:rsidP="00674D36">
            <w:pPr>
              <w:rPr>
                <w:rFonts w:eastAsia="Times New Roman"/>
                <w:i/>
                <w:iCs/>
                <w:color w:val="000000"/>
                <w:sz w:val="20"/>
                <w:lang w:val="id-ID"/>
              </w:rPr>
            </w:pPr>
          </w:p>
        </w:tc>
        <w:tc>
          <w:tcPr>
            <w:tcW w:w="1564" w:type="dxa"/>
            <w:tcBorders>
              <w:top w:val="single" w:sz="4" w:space="0" w:color="auto"/>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10"/>
                <w:szCs w:val="10"/>
                <w:lang w:val="id-ID"/>
              </w:rPr>
            </w:pPr>
            <w:r w:rsidRPr="00FB3C91">
              <w:rPr>
                <w:rFonts w:eastAsia="Times New Roman"/>
                <w:color w:val="000000"/>
                <w:sz w:val="10"/>
                <w:szCs w:val="10"/>
                <w:lang w:val="id-ID"/>
              </w:rPr>
              <w:t> </w:t>
            </w:r>
          </w:p>
        </w:tc>
        <w:tc>
          <w:tcPr>
            <w:tcW w:w="1566" w:type="dxa"/>
            <w:tcBorders>
              <w:top w:val="single" w:sz="4" w:space="0" w:color="auto"/>
              <w:left w:val="nil"/>
              <w:bottom w:val="nil"/>
              <w:right w:val="nil"/>
            </w:tcBorders>
            <w:noWrap/>
            <w:vAlign w:val="center"/>
            <w:hideMark/>
          </w:tcPr>
          <w:p w:rsidR="00816EDB" w:rsidRPr="00FB3C91" w:rsidRDefault="00816EDB" w:rsidP="00674D36">
            <w:pPr>
              <w:jc w:val="center"/>
              <w:rPr>
                <w:rFonts w:eastAsia="Times New Roman"/>
                <w:color w:val="000000"/>
                <w:sz w:val="10"/>
                <w:szCs w:val="10"/>
                <w:lang w:val="id-ID"/>
              </w:rPr>
            </w:pPr>
            <w:r w:rsidRPr="00FB3C91">
              <w:rPr>
                <w:rFonts w:eastAsia="Times New Roman"/>
                <w:color w:val="000000"/>
                <w:sz w:val="10"/>
                <w:szCs w:val="10"/>
                <w:lang w:val="id-ID"/>
              </w:rPr>
              <w:t> </w:t>
            </w:r>
          </w:p>
        </w:tc>
      </w:tr>
      <w:tr w:rsidR="009F2228" w:rsidRPr="00FB3C91" w:rsidTr="009F2228">
        <w:trPr>
          <w:trHeight w:val="384"/>
        </w:trPr>
        <w:tc>
          <w:tcPr>
            <w:tcW w:w="713" w:type="dxa"/>
            <w:noWrap/>
            <w:vAlign w:val="center"/>
            <w:hideMark/>
          </w:tcPr>
          <w:p w:rsidR="00816EDB" w:rsidRPr="00FB3C91" w:rsidRDefault="00816EDB" w:rsidP="00674D36">
            <w:pPr>
              <w:rPr>
                <w:rFonts w:eastAsia="Times New Roman"/>
                <w:color w:val="000000"/>
                <w:sz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b/>
                <w:bCs/>
                <w:color w:val="000000"/>
                <w:sz w:val="20"/>
                <w:lang w:val="id-ID"/>
              </w:rPr>
            </w:pPr>
            <w:r w:rsidRPr="00FB3C91">
              <w:rPr>
                <w:rFonts w:eastAsia="Times New Roman"/>
                <w:b/>
                <w:bCs/>
                <w:color w:val="000000"/>
                <w:sz w:val="20"/>
                <w:lang w:val="id-ID"/>
              </w:rPr>
              <w:t>Kuadran IV</w:t>
            </w:r>
          </w:p>
        </w:tc>
        <w:tc>
          <w:tcPr>
            <w:tcW w:w="1566" w:type="dxa"/>
            <w:noWrap/>
            <w:vAlign w:val="center"/>
            <w:hideMark/>
          </w:tcPr>
          <w:p w:rsidR="00816EDB" w:rsidRPr="00FB3C91" w:rsidRDefault="00816EDB" w:rsidP="00674D36">
            <w:pPr>
              <w:jc w:val="center"/>
              <w:rPr>
                <w:rFonts w:eastAsia="Times New Roman"/>
                <w:b/>
                <w:bCs/>
                <w:color w:val="000000"/>
                <w:sz w:val="20"/>
                <w:lang w:val="id-ID"/>
              </w:rPr>
            </w:pPr>
            <w:r w:rsidRPr="00FB3C91">
              <w:rPr>
                <w:rFonts w:eastAsia="Times New Roman"/>
                <w:b/>
                <w:bCs/>
                <w:color w:val="000000"/>
                <w:sz w:val="20"/>
                <w:lang w:val="id-ID"/>
              </w:rPr>
              <w:t>Kuadran III</w:t>
            </w:r>
          </w:p>
        </w:tc>
      </w:tr>
      <w:tr w:rsidR="009F2228" w:rsidRPr="00FB3C91" w:rsidTr="009F2228">
        <w:trPr>
          <w:trHeight w:val="201"/>
        </w:trPr>
        <w:tc>
          <w:tcPr>
            <w:tcW w:w="713" w:type="dxa"/>
            <w:noWrap/>
            <w:vAlign w:val="center"/>
            <w:hideMark/>
          </w:tcPr>
          <w:p w:rsidR="00816EDB" w:rsidRPr="00FB3C91" w:rsidRDefault="00816EDB" w:rsidP="00674D36">
            <w:pPr>
              <w:rPr>
                <w:rFonts w:eastAsia="Times New Roman"/>
                <w:b/>
                <w:bCs/>
                <w:color w:val="000000"/>
                <w:sz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color w:val="000000"/>
                <w:sz w:val="20"/>
                <w:lang w:val="id-ID"/>
              </w:rPr>
              <w:t> </w:t>
            </w:r>
          </w:p>
        </w:tc>
        <w:tc>
          <w:tcPr>
            <w:tcW w:w="1566" w:type="dxa"/>
            <w:noWrap/>
            <w:vAlign w:val="center"/>
            <w:hideMark/>
          </w:tcPr>
          <w:p w:rsidR="00816EDB" w:rsidRPr="00FB3C91" w:rsidRDefault="00816EDB" w:rsidP="00674D36">
            <w:pPr>
              <w:rPr>
                <w:rFonts w:eastAsia="Times New Roman"/>
                <w:color w:val="000000"/>
                <w:sz w:val="20"/>
                <w:lang w:val="id-ID"/>
              </w:rPr>
            </w:pPr>
          </w:p>
        </w:tc>
      </w:tr>
      <w:tr w:rsidR="009F2228" w:rsidRPr="00FB3C91" w:rsidTr="009F2228">
        <w:trPr>
          <w:trHeight w:val="384"/>
        </w:trPr>
        <w:tc>
          <w:tcPr>
            <w:tcW w:w="713" w:type="dxa"/>
            <w:noWrap/>
            <w:vAlign w:val="center"/>
            <w:hideMark/>
          </w:tcPr>
          <w:p w:rsidR="00816EDB" w:rsidRPr="00FB3C91" w:rsidRDefault="00816EDB" w:rsidP="00674D36">
            <w:pPr>
              <w:rPr>
                <w:sz w:val="20"/>
                <w:szCs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Share</w:t>
            </w:r>
            <w:r w:rsidRPr="00FB3C91">
              <w:rPr>
                <w:rFonts w:eastAsia="Times New Roman"/>
                <w:color w:val="000000"/>
                <w:sz w:val="20"/>
                <w:lang w:val="id-ID"/>
              </w:rPr>
              <w:t xml:space="preserve"> Rendah,</w:t>
            </w:r>
          </w:p>
        </w:tc>
        <w:tc>
          <w:tcPr>
            <w:tcW w:w="1566" w:type="dxa"/>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Share</w:t>
            </w:r>
            <w:r w:rsidRPr="00FB3C91">
              <w:rPr>
                <w:rFonts w:eastAsia="Times New Roman"/>
                <w:color w:val="000000"/>
                <w:sz w:val="20"/>
                <w:lang w:val="id-ID"/>
              </w:rPr>
              <w:t xml:space="preserve"> Tinggi,</w:t>
            </w:r>
          </w:p>
        </w:tc>
      </w:tr>
      <w:tr w:rsidR="009F2228" w:rsidRPr="00FB3C91" w:rsidTr="009F2228">
        <w:trPr>
          <w:trHeight w:val="384"/>
        </w:trPr>
        <w:tc>
          <w:tcPr>
            <w:tcW w:w="713" w:type="dxa"/>
            <w:noWrap/>
            <w:vAlign w:val="center"/>
            <w:hideMark/>
          </w:tcPr>
          <w:p w:rsidR="00816EDB" w:rsidRPr="00FB3C91" w:rsidRDefault="00816EDB" w:rsidP="00674D36">
            <w:pPr>
              <w:rPr>
                <w:rFonts w:eastAsia="Times New Roman"/>
                <w:color w:val="000000"/>
                <w:sz w:val="20"/>
                <w:lang w:val="id-ID"/>
              </w:rPr>
            </w:pPr>
          </w:p>
        </w:tc>
        <w:tc>
          <w:tcPr>
            <w:tcW w:w="1564" w:type="dxa"/>
            <w:tcBorders>
              <w:top w:val="nil"/>
              <w:left w:val="nil"/>
              <w:bottom w:val="nil"/>
              <w:right w:val="single" w:sz="4" w:space="0" w:color="auto"/>
            </w:tcBorders>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Growth</w:t>
            </w:r>
            <w:r w:rsidRPr="00FB3C91">
              <w:rPr>
                <w:rFonts w:eastAsia="Times New Roman"/>
                <w:color w:val="000000"/>
                <w:sz w:val="20"/>
                <w:lang w:val="id-ID"/>
              </w:rPr>
              <w:t xml:space="preserve"> Rendah</w:t>
            </w:r>
          </w:p>
        </w:tc>
        <w:tc>
          <w:tcPr>
            <w:tcW w:w="1566" w:type="dxa"/>
            <w:noWrap/>
            <w:vAlign w:val="center"/>
            <w:hideMark/>
          </w:tcPr>
          <w:p w:rsidR="00816EDB" w:rsidRPr="00FB3C91" w:rsidRDefault="00816EDB" w:rsidP="00674D36">
            <w:pPr>
              <w:jc w:val="center"/>
              <w:rPr>
                <w:rFonts w:eastAsia="Times New Roman"/>
                <w:color w:val="000000"/>
                <w:sz w:val="20"/>
                <w:lang w:val="id-ID"/>
              </w:rPr>
            </w:pPr>
            <w:r w:rsidRPr="00FB3C91">
              <w:rPr>
                <w:rFonts w:eastAsia="Times New Roman"/>
                <w:i/>
                <w:iCs/>
                <w:color w:val="000000"/>
                <w:sz w:val="20"/>
                <w:lang w:val="id-ID"/>
              </w:rPr>
              <w:t>Growth</w:t>
            </w:r>
            <w:r w:rsidRPr="00FB3C91">
              <w:rPr>
                <w:rFonts w:eastAsia="Times New Roman"/>
                <w:color w:val="000000"/>
                <w:sz w:val="20"/>
                <w:lang w:val="id-ID"/>
              </w:rPr>
              <w:t xml:space="preserve"> Rendah</w:t>
            </w:r>
          </w:p>
        </w:tc>
      </w:tr>
    </w:tbl>
    <w:p w:rsidR="009F2228" w:rsidRPr="009F2228" w:rsidRDefault="009F2228" w:rsidP="00816EDB">
      <w:pPr>
        <w:pStyle w:val="JAK22aBODYARTIKEL"/>
        <w:ind w:left="284"/>
        <w:rPr>
          <w:sz w:val="20"/>
          <w:szCs w:val="20"/>
        </w:rPr>
      </w:pPr>
    </w:p>
    <w:p w:rsidR="009F2228" w:rsidRPr="009F2228" w:rsidRDefault="009F2228" w:rsidP="009F2228">
      <w:pPr>
        <w:pStyle w:val="JAK22aBODYARTIKEL"/>
        <w:ind w:left="284"/>
        <w:rPr>
          <w:sz w:val="20"/>
          <w:szCs w:val="20"/>
        </w:rPr>
      </w:pPr>
      <w:r w:rsidRPr="009F2228">
        <w:rPr>
          <w:sz w:val="20"/>
          <w:szCs w:val="20"/>
        </w:rPr>
        <w:t>Sumber: Data Primer yang diolah (2025)</w:t>
      </w:r>
    </w:p>
    <w:p w:rsidR="009F2228" w:rsidRPr="009F2228" w:rsidRDefault="009F2228" w:rsidP="00816EDB">
      <w:pPr>
        <w:pStyle w:val="JAK22aBODYARTIKEL"/>
        <w:ind w:left="284"/>
        <w:rPr>
          <w:sz w:val="20"/>
          <w:szCs w:val="20"/>
        </w:rPr>
      </w:pPr>
    </w:p>
    <w:p w:rsidR="00816EDB" w:rsidRDefault="00816EDB" w:rsidP="009F2228">
      <w:pPr>
        <w:pStyle w:val="JAK22aBODYARTIKEL"/>
        <w:ind w:left="284"/>
        <w:jc w:val="center"/>
      </w:pPr>
      <w:r>
        <w:t xml:space="preserve">Gambar 1. Kuadran Kombinasi </w:t>
      </w:r>
      <w:r w:rsidRPr="00F87E8A">
        <w:rPr>
          <w:i/>
        </w:rPr>
        <w:t>Share</w:t>
      </w:r>
      <w:r>
        <w:t xml:space="preserve"> dan </w:t>
      </w:r>
      <w:r w:rsidRPr="00F87E8A">
        <w:rPr>
          <w:i/>
        </w:rPr>
        <w:t>Growth</w:t>
      </w:r>
    </w:p>
    <w:p w:rsidR="009F2228" w:rsidRDefault="009F2228" w:rsidP="009F2228">
      <w:pPr>
        <w:pStyle w:val="JAK22aBODYARTIKEL"/>
        <w:numPr>
          <w:ilvl w:val="0"/>
          <w:numId w:val="6"/>
        </w:numPr>
        <w:ind w:left="567" w:hanging="283"/>
      </w:pPr>
      <w:r>
        <w:lastRenderedPageBreak/>
        <w:t>Kuadran I (Mandiri dan Potensial)</w:t>
      </w:r>
    </w:p>
    <w:p w:rsidR="009F2228" w:rsidRDefault="009F2228" w:rsidP="009F2228">
      <w:pPr>
        <w:pStyle w:val="JAK22aBODYARTIKEL"/>
        <w:ind w:left="567" w:firstLine="425"/>
      </w:pPr>
      <w:r>
        <w:t xml:space="preserve">Daerah yang masuk ke Kuadran I memiliki nilai </w:t>
      </w:r>
      <w:r w:rsidRPr="00F87E8A">
        <w:rPr>
          <w:i/>
        </w:rPr>
        <w:t>share</w:t>
      </w:r>
      <w:r>
        <w:t xml:space="preserve"> dan </w:t>
      </w:r>
      <w:r w:rsidRPr="00F87E8A">
        <w:rPr>
          <w:i/>
        </w:rPr>
        <w:t>growth</w:t>
      </w:r>
      <w:r>
        <w:t xml:space="preserve"> yang tinggi. Hal ini menunjukkan bahwa daerah tersebut mampu membiayai belanja daerahnya secara mandiri melalui PAD sekaligus memiliki potensi pertumbuhan ekonomi yang kuat. Dengan kata lain, kondisi ini mencerminkan situasi paling optimal dalam hal kemandirian fiskal dan kapasitas pengembangan ekonomi lokal.</w:t>
      </w:r>
    </w:p>
    <w:p w:rsidR="009F2228" w:rsidRDefault="009F2228" w:rsidP="009F2228">
      <w:pPr>
        <w:pStyle w:val="JAK22aBODYARTIKEL"/>
        <w:numPr>
          <w:ilvl w:val="0"/>
          <w:numId w:val="6"/>
        </w:numPr>
        <w:ind w:left="567" w:hanging="283"/>
      </w:pPr>
      <w:r>
        <w:t>Kuadran II (Tidak Mandiri tapi Potensial)</w:t>
      </w:r>
    </w:p>
    <w:p w:rsidR="009F2228" w:rsidRDefault="009F2228" w:rsidP="009F2228">
      <w:pPr>
        <w:pStyle w:val="JAK22aBODYARTIKEL"/>
        <w:ind w:left="567" w:firstLine="425"/>
      </w:pPr>
      <w:r>
        <w:t xml:space="preserve">Daerah yang termasuk dalam Kuadran II memiliki nilai </w:t>
      </w:r>
      <w:r w:rsidRPr="00F87E8A">
        <w:rPr>
          <w:i/>
        </w:rPr>
        <w:t>share</w:t>
      </w:r>
      <w:r>
        <w:t xml:space="preserve"> yang rendah tetapi </w:t>
      </w:r>
      <w:r w:rsidRPr="00F87E8A">
        <w:rPr>
          <w:i/>
        </w:rPr>
        <w:t>growth</w:t>
      </w:r>
      <w:r>
        <w:t xml:space="preserve"> yang tinggi. Kondisi ini menunjukkan bahwa meskipun daerah masih tergantung pada sumber pendapatan lain, potensi pertumbuhan PAD-nya cukup baik. Dengan pengelolaan yang optimal, daerah-daerah dalam kuadran ini memiliki peluang untuk meningkatkan kemandirian fiskal di masa mendatang.</w:t>
      </w:r>
    </w:p>
    <w:p w:rsidR="009F2228" w:rsidRDefault="009F2228" w:rsidP="009F2228">
      <w:pPr>
        <w:pStyle w:val="JAK22aBODYARTIKEL"/>
        <w:numPr>
          <w:ilvl w:val="0"/>
          <w:numId w:val="6"/>
        </w:numPr>
        <w:ind w:left="567" w:hanging="283"/>
      </w:pPr>
      <w:r>
        <w:t>Kuadran III (Mandiri tapi Tidak Potensial)</w:t>
      </w:r>
    </w:p>
    <w:p w:rsidR="009F2228" w:rsidRDefault="009F2228" w:rsidP="009F2228">
      <w:pPr>
        <w:pStyle w:val="JAK22aBODYARTIKEL"/>
        <w:ind w:left="567" w:firstLine="425"/>
      </w:pPr>
      <w:r>
        <w:t xml:space="preserve">Daerah yang tergolong dalam Kuadran III memiliki nilai </w:t>
      </w:r>
      <w:r w:rsidRPr="00F87E8A">
        <w:rPr>
          <w:i/>
        </w:rPr>
        <w:t>share</w:t>
      </w:r>
      <w:r>
        <w:t xml:space="preserve"> yang tinggi tetapi </w:t>
      </w:r>
      <w:r w:rsidRPr="00F87E8A">
        <w:rPr>
          <w:i/>
        </w:rPr>
        <w:t>growth</w:t>
      </w:r>
      <w:r>
        <w:t xml:space="preserve"> yang rendah. Hal ini menunjukkan bahwa meskipun daerah sudah mampu membiayai belanjanya sendiri melalui PAD, kapasitasnya untuk meningkatkan atau mengembangkan potensi pertumbuhan pendapatan di masa depan terbatas. Dengan kata lain, kemandirian fiskal sudah tercapai, tetapi prospek pertumbuhan ekonomi relatif stagnan.</w:t>
      </w:r>
    </w:p>
    <w:p w:rsidR="009F2228" w:rsidRDefault="009F2228" w:rsidP="009F2228">
      <w:pPr>
        <w:pStyle w:val="JAK22aBODYARTIKEL"/>
        <w:numPr>
          <w:ilvl w:val="0"/>
          <w:numId w:val="6"/>
        </w:numPr>
        <w:ind w:left="567" w:hanging="283"/>
      </w:pPr>
      <w:r>
        <w:t>Kuadran IV (Tidak Mandiri dan Tidak Potensial)</w:t>
      </w:r>
    </w:p>
    <w:p w:rsidR="009F2228" w:rsidRDefault="009F2228" w:rsidP="009F2228">
      <w:pPr>
        <w:pStyle w:val="JAK22aBODYARTIKEL"/>
        <w:ind w:left="567" w:firstLine="425"/>
      </w:pPr>
      <w:r>
        <w:t xml:space="preserve">Daerah yang termasuk dalam Kuadran IV memiliki nilai </w:t>
      </w:r>
      <w:r w:rsidRPr="00F87E8A">
        <w:rPr>
          <w:i/>
        </w:rPr>
        <w:t>share</w:t>
      </w:r>
      <w:r>
        <w:t xml:space="preserve"> dan </w:t>
      </w:r>
      <w:r w:rsidRPr="00F87E8A">
        <w:rPr>
          <w:i/>
        </w:rPr>
        <w:t>growth</w:t>
      </w:r>
      <w:r>
        <w:t xml:space="preserve"> yang rendah. Kondisi ini menunjukkan bahwa daerah tersebut tidak mandiri secara fiskal sekaligus </w:t>
      </w:r>
      <w:r>
        <w:lastRenderedPageBreak/>
        <w:t>memiliki prospek pengembangan PAD yang terbatas. Dengan kata lain, daerah berada pada posisi terlemah secara keuangan dan membutuhkan intervensi strategis untuk mendorong pembangunan fiskal dan meningkatkan kemandirian ekonomi di masa depan.</w:t>
      </w:r>
    </w:p>
    <w:p w:rsidR="00EC479D" w:rsidRDefault="00EC479D" w:rsidP="00816EDB">
      <w:pPr>
        <w:pStyle w:val="JAK22aBODYARTIKEL"/>
        <w:numPr>
          <w:ilvl w:val="0"/>
          <w:numId w:val="5"/>
        </w:numPr>
        <w:ind w:left="284" w:hanging="284"/>
      </w:pPr>
      <w:r>
        <w:t xml:space="preserve">Analisis </w:t>
      </w:r>
      <w:r w:rsidRPr="00EC479D">
        <w:rPr>
          <w:i/>
        </w:rPr>
        <w:t>Elasticity</w:t>
      </w:r>
    </w:p>
    <w:p w:rsidR="009F2228" w:rsidRDefault="009F2228" w:rsidP="009F2228">
      <w:pPr>
        <w:pStyle w:val="JAK22aBODYARTIKEL"/>
        <w:ind w:left="284" w:firstLine="425"/>
      </w:pPr>
      <w:r>
        <w:t>Analisis ini bertujuan untuk mengetahui sejauh mana PAD bersifat elastis terhadap pertumbuhan PDRB. Dengan kata lain, ketika terjadi pertumbuhan ekonomi, diharapkan akan terjadi peningkatan pada PAD. Kriteria penilaian berdasarkan persentase hasil perhitungan rasio dijelaskan sebagai berikut:</w:t>
      </w:r>
    </w:p>
    <w:p w:rsidR="009F2228" w:rsidRDefault="009F2228" w:rsidP="009F2228">
      <w:pPr>
        <w:pStyle w:val="JAK22aBODYARTIKEL"/>
        <w:numPr>
          <w:ilvl w:val="1"/>
          <w:numId w:val="8"/>
        </w:numPr>
        <w:ind w:left="567" w:hanging="283"/>
      </w:pPr>
      <w:r>
        <w:t>Elastis, terjadi apabila hasil perhitungan lebih besar dari 1 (&gt;1). Hal ini menunjukkan bahwa perubahan PDRB memiliki dampak yang signifikan terhadap PAD; misalnya, setiap kenaikan 1% pada PDRB akan mengakibatkan peningkatan PAD lebih dari 1%.</w:t>
      </w:r>
    </w:p>
    <w:p w:rsidR="009F2228" w:rsidRDefault="009F2228" w:rsidP="009F2228">
      <w:pPr>
        <w:pStyle w:val="JAK22aBODYARTIKEL"/>
        <w:numPr>
          <w:ilvl w:val="1"/>
          <w:numId w:val="8"/>
        </w:numPr>
        <w:ind w:left="567" w:hanging="283"/>
      </w:pPr>
      <w:r>
        <w:t>Elastis Uniter, terjadi apabila hasil perhitungan sama dengan 1 (=1). Artinya, perubahan PDRB sebanding dengan perubahan PAD; setiap kenaikan 1% pada PDRB akan diikuti oleh kenaikan 1% pada PAD.</w:t>
      </w:r>
    </w:p>
    <w:p w:rsidR="00EC479D" w:rsidRDefault="009F2228" w:rsidP="009F2228">
      <w:pPr>
        <w:pStyle w:val="JAK22aBODYARTIKEL"/>
        <w:numPr>
          <w:ilvl w:val="1"/>
          <w:numId w:val="8"/>
        </w:numPr>
        <w:ind w:left="567" w:hanging="283"/>
      </w:pPr>
      <w:r>
        <w:t>Inelastis, terjadi apabila hasil perhitungan kurang dari 1 (&lt;1). Kondisi ini menandakan bahwa perubahan PDRB tidak terlalu berdampak pada PAD, sehingga kenaikan 1% pada PDRB hanya menyebabkan peningkatan PAD kurang dari 1%</w:t>
      </w:r>
      <w:r w:rsidR="00A74242">
        <w:t xml:space="preserve"> </w:t>
      </w:r>
      <w:r w:rsidR="00A74242">
        <w:fldChar w:fldCharType="begin" w:fldLock="1"/>
      </w:r>
      <w:r w:rsidR="00A74242">
        <w:instrText>ADDIN CSL_CITATION {"citationItems":[{"id":"ITEM-1","itemData":{"DOI":"10.22219/jep.v10i1.3717","ISSN":"1693-2595","abstract":"The research is quantitative descriptive research from 2005/2006- 2008/2009, and this research uses non-participant observation. The research purpose is to find out how large regional original income elasticity to Regional Gross Domestic Product in range time 2005/2006- 2008/2009 also to find out how large task and retribution elasticity to Sumenep Regency Gross Domestic Product. Research result from 2005/2006- 2008/2009 shows: (1) Regional Original Income elasticity to Regional Gross Domestic Product of Sumenep Regency has average 1,84 %, (3) Retribution elasticity to Sumenep Regency Regional Gross Domestic Product average is 1,79 %, (4) Regional Original Income elasticity to the amount of Sumenep Regency inhabitants amount has average 310,56 %, (5) Task elasticity to the amount of Sumenep Regency inhabitants has average 707,13 %, and (6) Retribution elasticity to average inhabitants amount is 797,13 %. From equation above, it can be concluded that regional original income to Regional Gross Domestic Product of Sumenep Regency is quite sense from year 2005/2006- 2008/2009, that’s why it needed to be defended. While the suggestion is improving regional economic growth and add retribution and tax objects also intensification of retribution and task payment system. ","author":[{"dropping-particle":"","family":"Rasid","given":"Karman","non-dropping-particle":"","parse-names":false,"suffix":""},{"dropping-particle":"","family":"Waluyo","given":"Dw Eko","non-dropping-particle":"","parse-names":false,"suffix":""}],"container-title":"Jurnal Ekonomi Pembangunan","id":"ITEM-1","issue":"1","issued":{"date-parts":[["2012"]]},"page":"62","title":"Elastisitas Penerimaan Pendapatan Asli Daerah (Pad) Terhadap Produk Domestik Regional Bruto (Pdrb) Di Kabupaten Sumenep","type":"article-journal","volume":"10"},"uris":["http://www.mendeley.com/documents/?uuid=44106849-469f-4a0c-bb3e-3d264bba5671"]}],"mendeley":{"formattedCitation":"(Rasid &amp; Waluyo, 2012)","plainTextFormattedCitation":"(Rasid &amp; Waluyo, 2012)","previouslyFormattedCitation":"(Rasid &amp; Waluyo, 2012)"},"properties":{"noteIndex":0},"schema":"https://github.com/citation-style-language/schema/raw/master/csl-citation.json"}</w:instrText>
      </w:r>
      <w:r w:rsidR="00A74242">
        <w:fldChar w:fldCharType="separate"/>
      </w:r>
      <w:r w:rsidR="00A74242" w:rsidRPr="00A74242">
        <w:rPr>
          <w:noProof/>
        </w:rPr>
        <w:t>(Rasid &amp; Waluyo, 2012)</w:t>
      </w:r>
      <w:r w:rsidR="00A74242">
        <w:fldChar w:fldCharType="end"/>
      </w:r>
      <w:r>
        <w:t>.</w:t>
      </w:r>
    </w:p>
    <w:p w:rsidR="00EC479D" w:rsidRDefault="00EC479D" w:rsidP="00EC479D">
      <w:pPr>
        <w:pStyle w:val="JAK22aBODYARTIKEL"/>
        <w:ind w:firstLine="426"/>
      </w:pPr>
    </w:p>
    <w:p w:rsidR="00CE566F" w:rsidRDefault="00CE566F" w:rsidP="00EC479D">
      <w:pPr>
        <w:pStyle w:val="JAK21HEADINGPENDAHULUANdll"/>
        <w:spacing w:before="0"/>
      </w:pPr>
      <w:r>
        <w:t>HASIL DAN PEMBAHASAN</w:t>
      </w:r>
    </w:p>
    <w:p w:rsidR="009F2228" w:rsidRDefault="009F2228" w:rsidP="009F2228">
      <w:pPr>
        <w:pStyle w:val="JAK22aBODYARTIKEL"/>
        <w:rPr>
          <w:b/>
        </w:rPr>
      </w:pPr>
      <w:r w:rsidRPr="009F2228">
        <w:rPr>
          <w:b/>
        </w:rPr>
        <w:t>Kemandirian Keuangan Daerah Pemerintah Kabupaten Wonosobo Tahun 2020-2024</w:t>
      </w:r>
    </w:p>
    <w:p w:rsidR="00C54DB3" w:rsidRDefault="009F2228" w:rsidP="009F2228">
      <w:pPr>
        <w:pStyle w:val="JAK22aBODYARTIKEL"/>
        <w:numPr>
          <w:ilvl w:val="1"/>
          <w:numId w:val="6"/>
        </w:numPr>
        <w:ind w:left="284" w:hanging="284"/>
      </w:pPr>
      <w:r>
        <w:t>Analisis Rasio Kemandirian Keuangan</w:t>
      </w:r>
    </w:p>
    <w:p w:rsidR="009F2228" w:rsidRDefault="009F2228" w:rsidP="009F2228">
      <w:pPr>
        <w:pStyle w:val="JAK22aBODYARTIKEL"/>
        <w:ind w:left="284" w:firstLine="425"/>
      </w:pPr>
      <w:r>
        <w:t xml:space="preserve">Rasio Kemandirian Keuangan Daerah digunakan untuk mengukur </w:t>
      </w:r>
      <w:r>
        <w:lastRenderedPageBreak/>
        <w:t>kemampuan suatu daerah dalam membiayai penyelenggaraan pemerintahannya secara mandiri, tanpa bergantung pada bantuan pemerintah pusat. Rasio ini diperoleh dengan membandingkan PAD terhadap pendapatan transfer dan pinjaman daerah. Melalui perhitungan rasio ini, dapat diketahui sejauh mana Kabupaten Wonosobo mampu memenuhi kebutuhan belanja publik dan pembangunan daerahnya dengan mengandalkan sumber pendapatan internal yang dimiliki.</w:t>
      </w:r>
    </w:p>
    <w:p w:rsidR="009F2228" w:rsidRDefault="009F2228" w:rsidP="009F2228">
      <w:pPr>
        <w:pStyle w:val="JAK22aBODYARTIKEL"/>
        <w:ind w:left="284"/>
        <w:jc w:val="center"/>
      </w:pPr>
      <w:r>
        <w:t>Tabel 7. Hasil Perhitungan Rasio Kemandirian Keuangan Daerah Kabupaten Wonosobo Tahun</w:t>
      </w:r>
    </w:p>
    <w:p w:rsidR="009F2228" w:rsidRDefault="009F2228" w:rsidP="009F2228">
      <w:pPr>
        <w:pStyle w:val="JAK22aBODYARTIKEL"/>
        <w:ind w:left="284"/>
        <w:jc w:val="center"/>
      </w:pPr>
      <w:r>
        <w:t>2020-2024</w:t>
      </w:r>
    </w:p>
    <w:tbl>
      <w:tblPr>
        <w:tblW w:w="4686" w:type="dxa"/>
        <w:tblInd w:w="-426" w:type="dxa"/>
        <w:tblLook w:val="04A0" w:firstRow="1" w:lastRow="0" w:firstColumn="1" w:lastColumn="0" w:noHBand="0" w:noVBand="1"/>
      </w:tblPr>
      <w:tblGrid>
        <w:gridCol w:w="786"/>
        <w:gridCol w:w="1365"/>
        <w:gridCol w:w="1404"/>
        <w:gridCol w:w="1131"/>
      </w:tblGrid>
      <w:tr w:rsidR="00C04997" w:rsidRPr="006F74E9" w:rsidTr="00C04997">
        <w:trPr>
          <w:trHeight w:val="539"/>
        </w:trPr>
        <w:tc>
          <w:tcPr>
            <w:tcW w:w="786" w:type="dxa"/>
            <w:tcBorders>
              <w:top w:val="single" w:sz="4" w:space="0" w:color="auto"/>
              <w:left w:val="nil"/>
              <w:bottom w:val="single" w:sz="4" w:space="0" w:color="auto"/>
              <w:right w:val="nil"/>
            </w:tcBorders>
            <w:vAlign w:val="center"/>
            <w:hideMark/>
          </w:tcPr>
          <w:p w:rsidR="00C04997" w:rsidRPr="006F74E9" w:rsidRDefault="00C04997" w:rsidP="00674D36">
            <w:pPr>
              <w:jc w:val="center"/>
              <w:rPr>
                <w:rFonts w:eastAsia="Times New Roman"/>
                <w:b/>
                <w:bCs/>
                <w:color w:val="000000"/>
                <w:sz w:val="20"/>
                <w:lang w:val="id-ID" w:eastAsia="id-ID"/>
              </w:rPr>
            </w:pPr>
            <w:r w:rsidRPr="006F74E9">
              <w:rPr>
                <w:rFonts w:eastAsia="Times New Roman"/>
                <w:b/>
                <w:bCs/>
                <w:color w:val="000000"/>
                <w:sz w:val="20"/>
                <w:lang w:val="id-ID"/>
              </w:rPr>
              <w:t>Tahun</w:t>
            </w:r>
          </w:p>
        </w:tc>
        <w:tc>
          <w:tcPr>
            <w:tcW w:w="1365" w:type="dxa"/>
            <w:tcBorders>
              <w:top w:val="single" w:sz="4" w:space="0" w:color="auto"/>
              <w:left w:val="nil"/>
              <w:bottom w:val="single" w:sz="4" w:space="0" w:color="auto"/>
              <w:right w:val="nil"/>
            </w:tcBorders>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Rasio Kemandirian</w:t>
            </w:r>
            <w:r w:rsidRPr="006F74E9">
              <w:rPr>
                <w:rFonts w:eastAsia="Times New Roman"/>
                <w:b/>
                <w:bCs/>
                <w:color w:val="000000"/>
                <w:sz w:val="20"/>
                <w:lang w:val="id-ID"/>
              </w:rPr>
              <w:br/>
              <w:t>(%)</w:t>
            </w:r>
          </w:p>
        </w:tc>
        <w:tc>
          <w:tcPr>
            <w:tcW w:w="1404" w:type="dxa"/>
            <w:tcBorders>
              <w:top w:val="single" w:sz="4" w:space="0" w:color="auto"/>
              <w:left w:val="nil"/>
              <w:bottom w:val="single" w:sz="4" w:space="0" w:color="auto"/>
              <w:right w:val="nil"/>
            </w:tcBorders>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Tingkat Kemandirian</w:t>
            </w:r>
          </w:p>
        </w:tc>
        <w:tc>
          <w:tcPr>
            <w:tcW w:w="1131" w:type="dxa"/>
            <w:tcBorders>
              <w:top w:val="single" w:sz="4" w:space="0" w:color="auto"/>
              <w:left w:val="nil"/>
              <w:bottom w:val="single" w:sz="4" w:space="0" w:color="auto"/>
              <w:right w:val="nil"/>
            </w:tcBorders>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Pola Hubungan</w:t>
            </w:r>
          </w:p>
        </w:tc>
      </w:tr>
      <w:tr w:rsidR="00C04997" w:rsidRPr="006F74E9" w:rsidTr="00C04997">
        <w:trPr>
          <w:trHeight w:val="340"/>
        </w:trPr>
        <w:tc>
          <w:tcPr>
            <w:tcW w:w="786"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2020</w:t>
            </w:r>
          </w:p>
        </w:tc>
        <w:tc>
          <w:tcPr>
            <w:tcW w:w="1365"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 xml:space="preserve">19,95 </w:t>
            </w:r>
          </w:p>
        </w:tc>
        <w:tc>
          <w:tcPr>
            <w:tcW w:w="1404"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Rendah Sekali</w:t>
            </w:r>
          </w:p>
        </w:tc>
        <w:tc>
          <w:tcPr>
            <w:tcW w:w="1131"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Instruktif</w:t>
            </w:r>
          </w:p>
        </w:tc>
      </w:tr>
      <w:tr w:rsidR="00C04997" w:rsidRPr="006F74E9" w:rsidTr="00C04997">
        <w:trPr>
          <w:trHeight w:val="340"/>
        </w:trPr>
        <w:tc>
          <w:tcPr>
            <w:tcW w:w="786"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2021</w:t>
            </w:r>
          </w:p>
        </w:tc>
        <w:tc>
          <w:tcPr>
            <w:tcW w:w="1365"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 xml:space="preserve">22,50 </w:t>
            </w:r>
          </w:p>
        </w:tc>
        <w:tc>
          <w:tcPr>
            <w:tcW w:w="1404"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Rendah Sekali</w:t>
            </w:r>
          </w:p>
        </w:tc>
        <w:tc>
          <w:tcPr>
            <w:tcW w:w="1131"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Instruktif</w:t>
            </w:r>
          </w:p>
        </w:tc>
      </w:tr>
      <w:tr w:rsidR="00C04997" w:rsidRPr="006F74E9" w:rsidTr="00C04997">
        <w:trPr>
          <w:trHeight w:val="340"/>
        </w:trPr>
        <w:tc>
          <w:tcPr>
            <w:tcW w:w="786"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2022</w:t>
            </w:r>
          </w:p>
        </w:tc>
        <w:tc>
          <w:tcPr>
            <w:tcW w:w="1365"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 xml:space="preserve">16,42 </w:t>
            </w:r>
          </w:p>
        </w:tc>
        <w:tc>
          <w:tcPr>
            <w:tcW w:w="1404"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Rendah Sekali</w:t>
            </w:r>
          </w:p>
        </w:tc>
        <w:tc>
          <w:tcPr>
            <w:tcW w:w="1131"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Instruktif</w:t>
            </w:r>
          </w:p>
        </w:tc>
      </w:tr>
      <w:tr w:rsidR="00C04997" w:rsidRPr="006F74E9" w:rsidTr="00C04997">
        <w:trPr>
          <w:trHeight w:val="340"/>
        </w:trPr>
        <w:tc>
          <w:tcPr>
            <w:tcW w:w="786"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2023</w:t>
            </w:r>
          </w:p>
        </w:tc>
        <w:tc>
          <w:tcPr>
            <w:tcW w:w="1365"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 xml:space="preserve">15,34 </w:t>
            </w:r>
          </w:p>
        </w:tc>
        <w:tc>
          <w:tcPr>
            <w:tcW w:w="1404"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Rendah Sekali</w:t>
            </w:r>
          </w:p>
        </w:tc>
        <w:tc>
          <w:tcPr>
            <w:tcW w:w="1131"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Instruktif</w:t>
            </w:r>
          </w:p>
        </w:tc>
      </w:tr>
      <w:tr w:rsidR="00C04997" w:rsidRPr="006F74E9" w:rsidTr="00C04997">
        <w:trPr>
          <w:trHeight w:val="340"/>
        </w:trPr>
        <w:tc>
          <w:tcPr>
            <w:tcW w:w="786"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2024</w:t>
            </w:r>
          </w:p>
        </w:tc>
        <w:tc>
          <w:tcPr>
            <w:tcW w:w="1365"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 xml:space="preserve">17,19 </w:t>
            </w:r>
          </w:p>
        </w:tc>
        <w:tc>
          <w:tcPr>
            <w:tcW w:w="1404"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Rendah Sekali</w:t>
            </w:r>
          </w:p>
        </w:tc>
        <w:tc>
          <w:tcPr>
            <w:tcW w:w="1131" w:type="dxa"/>
            <w:noWrap/>
            <w:vAlign w:val="center"/>
            <w:hideMark/>
          </w:tcPr>
          <w:p w:rsidR="00C04997" w:rsidRPr="006F74E9" w:rsidRDefault="00C04997" w:rsidP="00674D36">
            <w:pPr>
              <w:jc w:val="center"/>
              <w:rPr>
                <w:rFonts w:eastAsia="Times New Roman"/>
                <w:color w:val="000000"/>
                <w:sz w:val="20"/>
                <w:lang w:val="id-ID"/>
              </w:rPr>
            </w:pPr>
            <w:r w:rsidRPr="006F74E9">
              <w:rPr>
                <w:rFonts w:eastAsia="Times New Roman"/>
                <w:color w:val="000000"/>
                <w:sz w:val="20"/>
                <w:lang w:val="id-ID"/>
              </w:rPr>
              <w:t>Instruktif</w:t>
            </w:r>
          </w:p>
        </w:tc>
      </w:tr>
      <w:tr w:rsidR="00C04997" w:rsidRPr="006F74E9" w:rsidTr="00C04997">
        <w:trPr>
          <w:trHeight w:val="340"/>
        </w:trPr>
        <w:tc>
          <w:tcPr>
            <w:tcW w:w="786" w:type="dxa"/>
            <w:tcBorders>
              <w:top w:val="single" w:sz="4" w:space="0" w:color="auto"/>
              <w:left w:val="nil"/>
              <w:bottom w:val="single" w:sz="4" w:space="0" w:color="auto"/>
              <w:right w:val="nil"/>
            </w:tcBorders>
            <w:noWrap/>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Rata-rata</w:t>
            </w:r>
          </w:p>
        </w:tc>
        <w:tc>
          <w:tcPr>
            <w:tcW w:w="1365" w:type="dxa"/>
            <w:tcBorders>
              <w:top w:val="single" w:sz="4" w:space="0" w:color="auto"/>
              <w:left w:val="nil"/>
              <w:bottom w:val="single" w:sz="4" w:space="0" w:color="auto"/>
              <w:right w:val="nil"/>
            </w:tcBorders>
            <w:noWrap/>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 xml:space="preserve">18,28 </w:t>
            </w:r>
          </w:p>
        </w:tc>
        <w:tc>
          <w:tcPr>
            <w:tcW w:w="1404" w:type="dxa"/>
            <w:tcBorders>
              <w:top w:val="single" w:sz="4" w:space="0" w:color="auto"/>
              <w:left w:val="nil"/>
              <w:bottom w:val="single" w:sz="4" w:space="0" w:color="auto"/>
              <w:right w:val="nil"/>
            </w:tcBorders>
            <w:noWrap/>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Rendah Sekali</w:t>
            </w:r>
          </w:p>
        </w:tc>
        <w:tc>
          <w:tcPr>
            <w:tcW w:w="1131" w:type="dxa"/>
            <w:tcBorders>
              <w:top w:val="single" w:sz="4" w:space="0" w:color="auto"/>
              <w:left w:val="nil"/>
              <w:bottom w:val="single" w:sz="4" w:space="0" w:color="auto"/>
              <w:right w:val="nil"/>
            </w:tcBorders>
            <w:noWrap/>
            <w:vAlign w:val="center"/>
            <w:hideMark/>
          </w:tcPr>
          <w:p w:rsidR="00C04997" w:rsidRPr="006F74E9" w:rsidRDefault="00C04997" w:rsidP="00674D36">
            <w:pPr>
              <w:jc w:val="center"/>
              <w:rPr>
                <w:rFonts w:eastAsia="Times New Roman"/>
                <w:b/>
                <w:bCs/>
                <w:color w:val="000000"/>
                <w:sz w:val="20"/>
                <w:lang w:val="id-ID"/>
              </w:rPr>
            </w:pPr>
            <w:r w:rsidRPr="006F74E9">
              <w:rPr>
                <w:rFonts w:eastAsia="Times New Roman"/>
                <w:b/>
                <w:bCs/>
                <w:color w:val="000000"/>
                <w:sz w:val="20"/>
                <w:lang w:val="id-ID"/>
              </w:rPr>
              <w:t>Instruktif</w:t>
            </w:r>
          </w:p>
        </w:tc>
      </w:tr>
    </w:tbl>
    <w:p w:rsidR="00C04997" w:rsidRPr="00570D64" w:rsidRDefault="00C04997" w:rsidP="00C04997">
      <w:pPr>
        <w:pStyle w:val="JAK22aBODYARTIKEL"/>
        <w:ind w:left="284" w:firstLine="425"/>
        <w:rPr>
          <w:sz w:val="20"/>
          <w:szCs w:val="20"/>
        </w:rPr>
      </w:pPr>
    </w:p>
    <w:p w:rsidR="00C04997" w:rsidRPr="00570D64" w:rsidRDefault="00C04997" w:rsidP="00C04997">
      <w:pPr>
        <w:pStyle w:val="JAK22aBODYARTIKEL"/>
        <w:ind w:left="284"/>
        <w:rPr>
          <w:sz w:val="20"/>
          <w:szCs w:val="20"/>
        </w:rPr>
      </w:pPr>
      <w:r w:rsidRPr="00570D64">
        <w:rPr>
          <w:sz w:val="20"/>
          <w:szCs w:val="20"/>
        </w:rPr>
        <w:t xml:space="preserve">Sumber: </w:t>
      </w:r>
      <w:r w:rsidRPr="00C04997">
        <w:rPr>
          <w:sz w:val="20"/>
          <w:szCs w:val="20"/>
        </w:rPr>
        <w:t>LRA Kabupaten Wonosobo (Data yang diolah, 2025)</w:t>
      </w:r>
    </w:p>
    <w:p w:rsidR="00C04997" w:rsidRPr="00570D64" w:rsidRDefault="00C04997" w:rsidP="00C04997">
      <w:pPr>
        <w:pStyle w:val="JAK22aBODYARTIKEL"/>
        <w:ind w:left="284" w:firstLine="425"/>
        <w:rPr>
          <w:sz w:val="20"/>
          <w:szCs w:val="20"/>
        </w:rPr>
      </w:pPr>
    </w:p>
    <w:p w:rsidR="009F2228" w:rsidRDefault="00C04997" w:rsidP="009F2228">
      <w:pPr>
        <w:pStyle w:val="JAK22aBODYARTIKEL"/>
        <w:ind w:left="284" w:firstLine="425"/>
      </w:pPr>
      <w:r w:rsidRPr="00C04997">
        <w:t>Berdasarkan hasil perhitungan rasio, tingkat Kemandirian Keuangan Daerah Kabupaten Wonosobo Tahun 2020–2024 memiliki rata-rata sebesar 18,28%, yang menempatkannya pada kategori rendah sekali dengan pola hubungan instruktif. Kondisi ini menunjukkan bahwa Kabupaten Wonosobo masih memiliki tingkat ketergantungan yang tinggi terhadap pendapatan transfer dalam membiayai kegiatan penyelenggaraan pemerintahan dan pembangunan daerah.</w:t>
      </w:r>
    </w:p>
    <w:p w:rsidR="009F2228" w:rsidRDefault="00C04997" w:rsidP="00C04997">
      <w:pPr>
        <w:pStyle w:val="JAK22aBODYARTIKEL"/>
      </w:pPr>
      <w:r>
        <w:rPr>
          <w:noProof/>
          <w:lang w:val="id-ID" w:eastAsia="id-ID"/>
        </w:rPr>
        <w:lastRenderedPageBreak/>
        <w:drawing>
          <wp:inline distT="0" distB="0" distL="0" distR="0" wp14:anchorId="69C00096" wp14:editId="05E37BF9">
            <wp:extent cx="2650490" cy="1281363"/>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F2228" w:rsidRDefault="00C04997" w:rsidP="00C04997">
      <w:pPr>
        <w:pStyle w:val="JAK22aBODYARTIKEL"/>
        <w:ind w:left="284"/>
        <w:rPr>
          <w:sz w:val="20"/>
          <w:szCs w:val="20"/>
        </w:rPr>
      </w:pPr>
      <w:r w:rsidRPr="00C04997">
        <w:rPr>
          <w:sz w:val="20"/>
          <w:szCs w:val="20"/>
        </w:rPr>
        <w:t xml:space="preserve">Sumber: </w:t>
      </w:r>
      <w:r>
        <w:rPr>
          <w:sz w:val="20"/>
          <w:szCs w:val="20"/>
        </w:rPr>
        <w:t xml:space="preserve">BPPKAD Kabupaten Wonosobo (Data </w:t>
      </w:r>
      <w:r w:rsidRPr="00C04997">
        <w:rPr>
          <w:sz w:val="20"/>
          <w:szCs w:val="20"/>
        </w:rPr>
        <w:t>yang diolah, 2025)</w:t>
      </w:r>
    </w:p>
    <w:p w:rsidR="00C04997" w:rsidRPr="00C04997" w:rsidRDefault="00C04997" w:rsidP="009F2228">
      <w:pPr>
        <w:pStyle w:val="JAK22aBODYARTIKEL"/>
        <w:ind w:left="284" w:firstLine="425"/>
        <w:rPr>
          <w:sz w:val="20"/>
          <w:szCs w:val="20"/>
        </w:rPr>
      </w:pPr>
    </w:p>
    <w:p w:rsidR="0004588F" w:rsidRPr="0004588F" w:rsidRDefault="0004588F" w:rsidP="0004588F">
      <w:pPr>
        <w:jc w:val="center"/>
        <w:rPr>
          <w:rFonts w:eastAsia="Times New Roman"/>
        </w:rPr>
      </w:pPr>
      <w:r w:rsidRPr="0004588F">
        <w:rPr>
          <w:rFonts w:eastAsia="Times New Roman"/>
        </w:rPr>
        <w:t>Gambar 2. Grafik Rasio Kemandirian Keuangan Daerah Kabupaten Wonosobo Tahun 2020-2024</w:t>
      </w:r>
    </w:p>
    <w:p w:rsidR="0004588F" w:rsidRPr="0004588F" w:rsidRDefault="0004588F" w:rsidP="009F2228">
      <w:pPr>
        <w:pStyle w:val="JAK22aBODYARTIKEL"/>
        <w:ind w:left="284" w:firstLine="425"/>
        <w:rPr>
          <w:sz w:val="20"/>
          <w:szCs w:val="20"/>
        </w:rPr>
      </w:pPr>
    </w:p>
    <w:p w:rsidR="00C04997" w:rsidRDefault="00C04997" w:rsidP="009F2228">
      <w:pPr>
        <w:pStyle w:val="JAK22aBODYARTIKEL"/>
        <w:ind w:left="284" w:firstLine="425"/>
      </w:pPr>
      <w:r w:rsidRPr="00C04997">
        <w:t>Berdasarkan Gambar 2, grafik rasio kemandirian keuangan daerah menunjukkan pola yang berfluktuasi dari tahun ke tahun. Meskipun sempat mengalami peningkatan pada tahun 2021 dan 2024, secara keseluruhan Kabupaten Wonosobo masih belum mencapai tingkat kemandirian fiskal karena nilai rasio kemandirian masih berada jauh di bawah angka ideal. Menurut data dari BPPKAD Kabupaten Wonosobo, rendahnya tingkat kemandirian tersebut dipengaruhi oleh capaian PAD yang belum menunjukkan peningkatan yang signifikan. Kondisi ini berdampak pada keterbatasan pemerintah daerah dalam membiayai kebutuhan belanja publik, sehingga belanja operasi menjadi lebih dominan sementara porsi belanja modal relatif rendah.</w:t>
      </w:r>
    </w:p>
    <w:p w:rsidR="009F2228" w:rsidRDefault="009F2228" w:rsidP="009F2228">
      <w:pPr>
        <w:pStyle w:val="JAK22aBODYARTIKEL"/>
        <w:numPr>
          <w:ilvl w:val="1"/>
          <w:numId w:val="6"/>
        </w:numPr>
        <w:ind w:left="284" w:hanging="284"/>
      </w:pPr>
      <w:r>
        <w:t>Analisis Rasio Desentralisasi Fiskal</w:t>
      </w:r>
    </w:p>
    <w:p w:rsidR="00C04997" w:rsidRDefault="00C04997" w:rsidP="00C04997">
      <w:pPr>
        <w:pStyle w:val="JAK22aBODYARTIKEL"/>
        <w:ind w:left="284" w:firstLine="425"/>
      </w:pPr>
      <w:r>
        <w:t>Rasio desentralisasi fiskal digunakan untuk mengukur sejauh mana PAD berkontribusi terhadap total pendapatan daerah. Semakin tinggi nilai rasio, semakin besar kemampuan pemerintah daerah dalam melaksanakan desentralisasi fiskal dengan mengandalkan sumber pendapatan yang berasal dari daerah itu sendiri. Dengan demikian, rasio desentralisasi fiskal menjadi indikator penting untuk melihat kemandirian fiskal dan kapasitas daerah dalam mendukung penyelenggaraan pemerintahan tanpa ketergantungan berlebih pada pendapatan transfer</w:t>
      </w:r>
    </w:p>
    <w:p w:rsidR="00C04997" w:rsidRDefault="00C04997" w:rsidP="00C04997">
      <w:pPr>
        <w:pStyle w:val="JAK22aBODYARTIKEL"/>
        <w:ind w:left="284"/>
        <w:jc w:val="center"/>
      </w:pPr>
      <w:r>
        <w:lastRenderedPageBreak/>
        <w:t>Tabel 8. Hasil Perhitungan Rasio Desentralisasi Fiskal Kabupaten Wonosobo Tahun 2020-2024</w:t>
      </w:r>
    </w:p>
    <w:tbl>
      <w:tblPr>
        <w:tblW w:w="3828" w:type="dxa"/>
        <w:tblInd w:w="284" w:type="dxa"/>
        <w:tblLook w:val="04A0" w:firstRow="1" w:lastRow="0" w:firstColumn="1" w:lastColumn="0" w:noHBand="0" w:noVBand="1"/>
      </w:tblPr>
      <w:tblGrid>
        <w:gridCol w:w="1134"/>
        <w:gridCol w:w="1418"/>
        <w:gridCol w:w="1276"/>
      </w:tblGrid>
      <w:tr w:rsidR="0004588F" w:rsidRPr="00471406" w:rsidTr="0004588F">
        <w:trPr>
          <w:trHeight w:val="600"/>
        </w:trPr>
        <w:tc>
          <w:tcPr>
            <w:tcW w:w="1134" w:type="dxa"/>
            <w:tcBorders>
              <w:top w:val="single" w:sz="4" w:space="0" w:color="auto"/>
              <w:left w:val="nil"/>
              <w:bottom w:val="single" w:sz="4" w:space="0" w:color="auto"/>
              <w:right w:val="nil"/>
            </w:tcBorders>
            <w:vAlign w:val="center"/>
            <w:hideMark/>
          </w:tcPr>
          <w:p w:rsidR="0004588F" w:rsidRPr="00471406" w:rsidRDefault="0004588F" w:rsidP="00674D36">
            <w:pPr>
              <w:jc w:val="center"/>
              <w:rPr>
                <w:rFonts w:eastAsia="Times New Roman"/>
                <w:b/>
                <w:bCs/>
                <w:color w:val="000000"/>
                <w:sz w:val="20"/>
                <w:szCs w:val="20"/>
                <w:lang w:val="id-ID" w:eastAsia="id-ID"/>
              </w:rPr>
            </w:pPr>
            <w:r w:rsidRPr="00471406">
              <w:rPr>
                <w:rFonts w:eastAsia="Times New Roman"/>
                <w:b/>
                <w:bCs/>
                <w:color w:val="000000"/>
                <w:sz w:val="20"/>
                <w:szCs w:val="20"/>
                <w:lang w:val="id-ID"/>
              </w:rPr>
              <w:t>Tahun</w:t>
            </w:r>
          </w:p>
        </w:tc>
        <w:tc>
          <w:tcPr>
            <w:tcW w:w="1418" w:type="dxa"/>
            <w:tcBorders>
              <w:top w:val="single" w:sz="4" w:space="0" w:color="auto"/>
              <w:left w:val="nil"/>
              <w:bottom w:val="single" w:sz="4" w:space="0" w:color="auto"/>
              <w:right w:val="nil"/>
            </w:tcBorders>
            <w:vAlign w:val="center"/>
            <w:hideMark/>
          </w:tcPr>
          <w:p w:rsidR="0004588F" w:rsidRPr="00471406" w:rsidRDefault="0004588F" w:rsidP="00674D36">
            <w:pPr>
              <w:jc w:val="center"/>
              <w:rPr>
                <w:rFonts w:eastAsia="Times New Roman"/>
                <w:b/>
                <w:bCs/>
                <w:color w:val="000000"/>
                <w:sz w:val="20"/>
                <w:szCs w:val="20"/>
                <w:lang w:val="id-ID"/>
              </w:rPr>
            </w:pPr>
            <w:r w:rsidRPr="00471406">
              <w:rPr>
                <w:rFonts w:eastAsia="Times New Roman"/>
                <w:b/>
                <w:bCs/>
                <w:color w:val="000000"/>
                <w:sz w:val="20"/>
                <w:szCs w:val="20"/>
                <w:lang w:val="id-ID"/>
              </w:rPr>
              <w:t>Rasio Desentralisasi Fiskal (%)</w:t>
            </w:r>
          </w:p>
        </w:tc>
        <w:tc>
          <w:tcPr>
            <w:tcW w:w="1276" w:type="dxa"/>
            <w:tcBorders>
              <w:top w:val="single" w:sz="4" w:space="0" w:color="auto"/>
              <w:left w:val="nil"/>
              <w:bottom w:val="single" w:sz="4" w:space="0" w:color="auto"/>
              <w:right w:val="nil"/>
            </w:tcBorders>
            <w:vAlign w:val="center"/>
            <w:hideMark/>
          </w:tcPr>
          <w:p w:rsidR="0004588F" w:rsidRPr="00471406" w:rsidRDefault="0004588F" w:rsidP="00674D36">
            <w:pPr>
              <w:jc w:val="center"/>
              <w:rPr>
                <w:rFonts w:eastAsia="Times New Roman"/>
                <w:b/>
                <w:bCs/>
                <w:color w:val="000000"/>
                <w:sz w:val="20"/>
                <w:szCs w:val="20"/>
                <w:lang w:val="id-ID"/>
              </w:rPr>
            </w:pPr>
            <w:r w:rsidRPr="00471406">
              <w:rPr>
                <w:rFonts w:eastAsia="Times New Roman"/>
                <w:b/>
                <w:bCs/>
                <w:color w:val="000000"/>
                <w:sz w:val="20"/>
                <w:szCs w:val="20"/>
                <w:lang w:val="id-ID"/>
              </w:rPr>
              <w:t>Kriteria</w:t>
            </w:r>
          </w:p>
        </w:tc>
      </w:tr>
      <w:tr w:rsidR="0004588F" w:rsidRPr="00471406" w:rsidTr="0004588F">
        <w:trPr>
          <w:trHeight w:val="379"/>
        </w:trPr>
        <w:tc>
          <w:tcPr>
            <w:tcW w:w="1134"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2020</w:t>
            </w:r>
          </w:p>
        </w:tc>
        <w:tc>
          <w:tcPr>
            <w:tcW w:w="1418"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13,40 </w:t>
            </w:r>
          </w:p>
        </w:tc>
        <w:tc>
          <w:tcPr>
            <w:tcW w:w="1276"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Kurang</w:t>
            </w:r>
          </w:p>
        </w:tc>
      </w:tr>
      <w:tr w:rsidR="0004588F" w:rsidRPr="00471406" w:rsidTr="0004588F">
        <w:trPr>
          <w:trHeight w:val="379"/>
        </w:trPr>
        <w:tc>
          <w:tcPr>
            <w:tcW w:w="1134"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2021</w:t>
            </w:r>
          </w:p>
        </w:tc>
        <w:tc>
          <w:tcPr>
            <w:tcW w:w="1418"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17,27 </w:t>
            </w:r>
          </w:p>
        </w:tc>
        <w:tc>
          <w:tcPr>
            <w:tcW w:w="1276"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Kurang</w:t>
            </w:r>
          </w:p>
        </w:tc>
      </w:tr>
      <w:tr w:rsidR="0004588F" w:rsidRPr="00471406" w:rsidTr="0004588F">
        <w:trPr>
          <w:trHeight w:val="379"/>
        </w:trPr>
        <w:tc>
          <w:tcPr>
            <w:tcW w:w="1134"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2022</w:t>
            </w:r>
          </w:p>
        </w:tc>
        <w:tc>
          <w:tcPr>
            <w:tcW w:w="1418"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13,79 </w:t>
            </w:r>
          </w:p>
        </w:tc>
        <w:tc>
          <w:tcPr>
            <w:tcW w:w="1276"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Kurang</w:t>
            </w:r>
          </w:p>
        </w:tc>
      </w:tr>
      <w:tr w:rsidR="0004588F" w:rsidRPr="00471406" w:rsidTr="0004588F">
        <w:trPr>
          <w:trHeight w:val="379"/>
        </w:trPr>
        <w:tc>
          <w:tcPr>
            <w:tcW w:w="1134"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2023</w:t>
            </w:r>
          </w:p>
        </w:tc>
        <w:tc>
          <w:tcPr>
            <w:tcW w:w="1418"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12,98 </w:t>
            </w:r>
          </w:p>
        </w:tc>
        <w:tc>
          <w:tcPr>
            <w:tcW w:w="1276"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Kurang</w:t>
            </w:r>
          </w:p>
        </w:tc>
      </w:tr>
      <w:tr w:rsidR="0004588F" w:rsidRPr="00471406" w:rsidTr="0004588F">
        <w:trPr>
          <w:trHeight w:val="379"/>
        </w:trPr>
        <w:tc>
          <w:tcPr>
            <w:tcW w:w="1134"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2024</w:t>
            </w:r>
          </w:p>
        </w:tc>
        <w:tc>
          <w:tcPr>
            <w:tcW w:w="1418"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14,60 </w:t>
            </w:r>
          </w:p>
        </w:tc>
        <w:tc>
          <w:tcPr>
            <w:tcW w:w="1276" w:type="dxa"/>
            <w:noWrap/>
            <w:vAlign w:val="center"/>
            <w:hideMark/>
          </w:tcPr>
          <w:p w:rsidR="0004588F" w:rsidRPr="00471406" w:rsidRDefault="0004588F" w:rsidP="00674D36">
            <w:pPr>
              <w:jc w:val="center"/>
              <w:rPr>
                <w:rFonts w:eastAsia="Times New Roman"/>
                <w:color w:val="000000"/>
                <w:sz w:val="20"/>
                <w:szCs w:val="20"/>
                <w:lang w:val="id-ID"/>
              </w:rPr>
            </w:pPr>
            <w:r w:rsidRPr="00471406">
              <w:rPr>
                <w:rFonts w:eastAsia="Times New Roman"/>
                <w:color w:val="000000"/>
                <w:sz w:val="20"/>
                <w:szCs w:val="20"/>
                <w:lang w:val="id-ID"/>
              </w:rPr>
              <w:t>Kurang</w:t>
            </w:r>
          </w:p>
        </w:tc>
      </w:tr>
      <w:tr w:rsidR="0004588F" w:rsidRPr="00471406" w:rsidTr="0004588F">
        <w:trPr>
          <w:trHeight w:val="379"/>
        </w:trPr>
        <w:tc>
          <w:tcPr>
            <w:tcW w:w="1134" w:type="dxa"/>
            <w:tcBorders>
              <w:top w:val="single" w:sz="4" w:space="0" w:color="auto"/>
              <w:left w:val="nil"/>
              <w:bottom w:val="single" w:sz="4" w:space="0" w:color="auto"/>
              <w:right w:val="nil"/>
            </w:tcBorders>
            <w:noWrap/>
            <w:vAlign w:val="center"/>
            <w:hideMark/>
          </w:tcPr>
          <w:p w:rsidR="0004588F" w:rsidRPr="00471406" w:rsidRDefault="0004588F" w:rsidP="00674D36">
            <w:pPr>
              <w:jc w:val="center"/>
              <w:rPr>
                <w:rFonts w:eastAsia="Times New Roman"/>
                <w:b/>
                <w:bCs/>
                <w:color w:val="000000"/>
                <w:sz w:val="20"/>
                <w:szCs w:val="20"/>
                <w:lang w:val="id-ID"/>
              </w:rPr>
            </w:pPr>
            <w:r w:rsidRPr="00471406">
              <w:rPr>
                <w:rFonts w:eastAsia="Times New Roman"/>
                <w:b/>
                <w:bCs/>
                <w:color w:val="000000"/>
                <w:sz w:val="20"/>
                <w:szCs w:val="20"/>
                <w:lang w:val="id-ID"/>
              </w:rPr>
              <w:t>Rata-rata</w:t>
            </w:r>
          </w:p>
        </w:tc>
        <w:tc>
          <w:tcPr>
            <w:tcW w:w="1418" w:type="dxa"/>
            <w:tcBorders>
              <w:top w:val="single" w:sz="4" w:space="0" w:color="auto"/>
              <w:left w:val="nil"/>
              <w:bottom w:val="single" w:sz="4" w:space="0" w:color="auto"/>
              <w:right w:val="nil"/>
            </w:tcBorders>
            <w:noWrap/>
            <w:vAlign w:val="center"/>
            <w:hideMark/>
          </w:tcPr>
          <w:p w:rsidR="0004588F" w:rsidRPr="00471406" w:rsidRDefault="0004588F" w:rsidP="00674D36">
            <w:pPr>
              <w:jc w:val="center"/>
              <w:rPr>
                <w:rFonts w:eastAsia="Times New Roman"/>
                <w:b/>
                <w:bCs/>
                <w:color w:val="000000"/>
                <w:sz w:val="20"/>
                <w:szCs w:val="20"/>
                <w:lang w:val="id-ID"/>
              </w:rPr>
            </w:pPr>
            <w:r w:rsidRPr="00471406">
              <w:rPr>
                <w:rFonts w:eastAsia="Times New Roman"/>
                <w:b/>
                <w:bCs/>
                <w:color w:val="000000"/>
                <w:sz w:val="20"/>
                <w:szCs w:val="20"/>
                <w:lang w:val="id-ID"/>
              </w:rPr>
              <w:t xml:space="preserve">14,41 </w:t>
            </w:r>
          </w:p>
        </w:tc>
        <w:tc>
          <w:tcPr>
            <w:tcW w:w="1276" w:type="dxa"/>
            <w:tcBorders>
              <w:top w:val="single" w:sz="4" w:space="0" w:color="auto"/>
              <w:left w:val="nil"/>
              <w:bottom w:val="single" w:sz="4" w:space="0" w:color="auto"/>
              <w:right w:val="nil"/>
            </w:tcBorders>
            <w:noWrap/>
            <w:vAlign w:val="center"/>
            <w:hideMark/>
          </w:tcPr>
          <w:p w:rsidR="0004588F" w:rsidRPr="00471406" w:rsidRDefault="0004588F" w:rsidP="00674D36">
            <w:pPr>
              <w:jc w:val="center"/>
              <w:rPr>
                <w:rFonts w:eastAsia="Times New Roman"/>
                <w:b/>
                <w:bCs/>
                <w:color w:val="000000"/>
                <w:sz w:val="20"/>
                <w:szCs w:val="20"/>
                <w:lang w:val="id-ID"/>
              </w:rPr>
            </w:pPr>
            <w:r w:rsidRPr="00471406">
              <w:rPr>
                <w:rFonts w:eastAsia="Times New Roman"/>
                <w:b/>
                <w:bCs/>
                <w:color w:val="000000"/>
                <w:sz w:val="20"/>
                <w:szCs w:val="20"/>
                <w:lang w:val="id-ID"/>
              </w:rPr>
              <w:t>Kurang</w:t>
            </w:r>
          </w:p>
        </w:tc>
      </w:tr>
    </w:tbl>
    <w:p w:rsidR="0004588F" w:rsidRPr="00570D64" w:rsidRDefault="0004588F" w:rsidP="0004588F">
      <w:pPr>
        <w:pStyle w:val="JAK22aBODYARTIKEL"/>
        <w:ind w:left="284" w:firstLine="425"/>
        <w:rPr>
          <w:sz w:val="20"/>
          <w:szCs w:val="20"/>
        </w:rPr>
      </w:pPr>
    </w:p>
    <w:p w:rsidR="0004588F" w:rsidRPr="00570D64" w:rsidRDefault="0004588F" w:rsidP="0004588F">
      <w:pPr>
        <w:pStyle w:val="JAK22aBODYARTIKEL"/>
        <w:ind w:left="284"/>
        <w:rPr>
          <w:sz w:val="20"/>
          <w:szCs w:val="20"/>
        </w:rPr>
      </w:pPr>
      <w:r w:rsidRPr="00570D64">
        <w:rPr>
          <w:sz w:val="20"/>
          <w:szCs w:val="20"/>
        </w:rPr>
        <w:t xml:space="preserve">Sumber: </w:t>
      </w:r>
      <w:r w:rsidRPr="00C04997">
        <w:rPr>
          <w:sz w:val="20"/>
          <w:szCs w:val="20"/>
        </w:rPr>
        <w:t>LRA Kabupaten Wonosobo (Data yang diolah, 2025)</w:t>
      </w:r>
    </w:p>
    <w:p w:rsidR="0004588F" w:rsidRPr="00570D64" w:rsidRDefault="0004588F" w:rsidP="0004588F">
      <w:pPr>
        <w:pStyle w:val="JAK22aBODYARTIKEL"/>
        <w:ind w:left="284" w:firstLine="425"/>
        <w:rPr>
          <w:sz w:val="20"/>
          <w:szCs w:val="20"/>
        </w:rPr>
      </w:pPr>
    </w:p>
    <w:p w:rsidR="00C04997" w:rsidRDefault="0004588F" w:rsidP="0004588F">
      <w:pPr>
        <w:pStyle w:val="JAK22aBODYARTIKEL"/>
        <w:ind w:left="284" w:firstLine="425"/>
      </w:pPr>
      <w:r w:rsidRPr="0004588F">
        <w:t>Berdasarkan hasil perhitungan, rasio desentralisasi fiskal Kabupaten Wonosobo selama tahun 2020–2024 menunjukkan pola yang fluktuatif. Rata-rata nilai rasio yang diperoleh berada pada angka 14,41%, yang termasuk dalam kategori kurang. Nilai rasio tertinggi terjadi pada tahun 2021, yaitu sebesar 17,27%. Sedangkan nilai terendah tercatat pada tahun 2023, yaitu sebesar 12,98%. Kondisi ini mencerminkan bahwa kontribusi PAD terhadap total pendapatan daerah masih relatif rendah dan belum menunjukkan peningkatan yang stabil dari tahun ke tahun.</w:t>
      </w:r>
    </w:p>
    <w:p w:rsidR="0004588F" w:rsidRDefault="0004588F" w:rsidP="0004588F">
      <w:pPr>
        <w:pStyle w:val="JAK22aBODYARTIKEL"/>
        <w:ind w:left="284" w:firstLine="425"/>
      </w:pPr>
    </w:p>
    <w:p w:rsidR="00C04997" w:rsidRDefault="0004588F" w:rsidP="0004588F">
      <w:pPr>
        <w:pStyle w:val="JAK22aBODYARTIKEL"/>
        <w:ind w:left="142"/>
      </w:pPr>
      <w:r>
        <w:rPr>
          <w:noProof/>
          <w:lang w:val="id-ID" w:eastAsia="id-ID"/>
        </w:rPr>
        <w:drawing>
          <wp:inline distT="0" distB="0" distL="0" distR="0" wp14:anchorId="591BEB23" wp14:editId="1F188C3D">
            <wp:extent cx="2650490" cy="1401615"/>
            <wp:effectExtent l="0" t="0" r="0" b="82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25460" w:rsidRDefault="00125460" w:rsidP="0004588F">
      <w:pPr>
        <w:pStyle w:val="JAK22aBODYARTIKEL"/>
        <w:ind w:left="284"/>
        <w:rPr>
          <w:sz w:val="20"/>
          <w:szCs w:val="20"/>
        </w:rPr>
      </w:pPr>
    </w:p>
    <w:p w:rsidR="0004588F" w:rsidRDefault="0004588F" w:rsidP="0004588F">
      <w:pPr>
        <w:pStyle w:val="JAK22aBODYARTIKEL"/>
        <w:ind w:left="284"/>
        <w:rPr>
          <w:sz w:val="20"/>
          <w:szCs w:val="20"/>
        </w:rPr>
      </w:pPr>
      <w:r w:rsidRPr="00C04997">
        <w:rPr>
          <w:sz w:val="20"/>
          <w:szCs w:val="20"/>
        </w:rPr>
        <w:t xml:space="preserve">Sumber: </w:t>
      </w:r>
      <w:r>
        <w:rPr>
          <w:sz w:val="20"/>
          <w:szCs w:val="20"/>
        </w:rPr>
        <w:t xml:space="preserve">BPPKAD Kabupaten Wonosobo (Data </w:t>
      </w:r>
      <w:r w:rsidRPr="00C04997">
        <w:rPr>
          <w:sz w:val="20"/>
          <w:szCs w:val="20"/>
        </w:rPr>
        <w:t>yang diolah, 2025)</w:t>
      </w:r>
    </w:p>
    <w:p w:rsidR="0004588F" w:rsidRPr="00C04997" w:rsidRDefault="0004588F" w:rsidP="0004588F">
      <w:pPr>
        <w:pStyle w:val="JAK22aBODYARTIKEL"/>
        <w:ind w:left="284" w:firstLine="425"/>
        <w:rPr>
          <w:sz w:val="20"/>
          <w:szCs w:val="20"/>
        </w:rPr>
      </w:pPr>
    </w:p>
    <w:p w:rsidR="00125460" w:rsidRDefault="00125460" w:rsidP="0004588F">
      <w:pPr>
        <w:pStyle w:val="JAK22aBODYARTIKEL"/>
        <w:ind w:left="284"/>
        <w:jc w:val="center"/>
      </w:pPr>
      <w:r w:rsidRPr="00125460">
        <w:t xml:space="preserve">Grafik Rasio Desentralisasi </w:t>
      </w:r>
      <w:r>
        <w:t>Fiskal Kabupaten Wonosobo Tahun</w:t>
      </w:r>
    </w:p>
    <w:p w:rsidR="0004588F" w:rsidRDefault="00125460" w:rsidP="0004588F">
      <w:pPr>
        <w:pStyle w:val="JAK22aBODYARTIKEL"/>
        <w:ind w:left="284"/>
        <w:jc w:val="center"/>
      </w:pPr>
      <w:r w:rsidRPr="00125460">
        <w:t>2020-2024</w:t>
      </w:r>
    </w:p>
    <w:p w:rsidR="0004588F" w:rsidRPr="0004588F" w:rsidRDefault="0004588F" w:rsidP="0004588F">
      <w:pPr>
        <w:pStyle w:val="JAK22aBODYARTIKEL"/>
        <w:ind w:left="284"/>
        <w:jc w:val="center"/>
        <w:rPr>
          <w:sz w:val="20"/>
        </w:rPr>
      </w:pPr>
    </w:p>
    <w:p w:rsidR="00125460" w:rsidRDefault="00125460" w:rsidP="00125460">
      <w:pPr>
        <w:pStyle w:val="JAK22aBODYARTIKEL"/>
        <w:ind w:left="284" w:firstLine="425"/>
      </w:pPr>
      <w:r>
        <w:lastRenderedPageBreak/>
        <w:t>Berdasarkan Gambar 3</w:t>
      </w:r>
      <w:r w:rsidR="0004588F" w:rsidRPr="0004588F">
        <w:t xml:space="preserve">, </w:t>
      </w:r>
      <w:r>
        <w:t>Grafik menunjukkan bahwa rasio desentralisasi fiskal Kabupaten Wonosobo selama periode penelitian mengalami tren yang fluktuatif, dengan peningkatan yang cukup terlihat pada tahun 2021 dan 2024. Kenaikan pada kedua tahun tersebut terutama dipengaruhi oleh meningkatnya PAD. Sebaliknya, penurunan rasio pada tahun 2022 terjadi karena menurunnya PAD, sementara pendapatan transfer dari pemerintah pusat justru meningkat sehingga komposisi PAD dalam total pendapatan daerah menjadi lebih kecil. Meskipun terdapat dinamika peningkatan pada beberapa tahun, nilai rasio desentralisasi fiskal Kabupaten Wonosobo masih berada di bawah 20% dan termasuk dalam kriteria kurang. Kondisi ini menunjukkan bahwa kontribusi PAD terhadap total pendapatan daerah masih belum memadai untuk menopang pelaksanaan desentralisasi fiskal secara optimal, serta mengindikasikan ketergantungan yang masih tinggi terhadap pendapatan transfer.</w:t>
      </w:r>
    </w:p>
    <w:p w:rsidR="0004588F" w:rsidRDefault="00125460" w:rsidP="00125460">
      <w:pPr>
        <w:pStyle w:val="JAK22aBODYARTIKEL"/>
        <w:ind w:left="284" w:firstLine="425"/>
      </w:pPr>
      <w:r>
        <w:t>Keterbatasan dalam pengembangan sektor-sektor potensial, seperti pariwisata dan sektor komersial menjadi salah satu penyebab utama rendahnya kontribusi PAD. Struktur ekonomi daerah yang belum sepenuhnya mampu mendorong aktivitas ekonomi produktif membuat pendapatan daerah masih didominasi oleh dana transfer dari pemerintah pusat. Di sisi lain, tingginya porsi belanja operasi, khususnya belanja pegawai menyerap sebagian besar anggaran daerah, sehingga ruang fiskal untuk belanja pembangunan dan investasi daerah menjadi terbatas.</w:t>
      </w:r>
    </w:p>
    <w:p w:rsidR="009F2228" w:rsidRDefault="009F2228" w:rsidP="009F2228">
      <w:pPr>
        <w:pStyle w:val="JAK22aBODYARTIKEL"/>
        <w:numPr>
          <w:ilvl w:val="1"/>
          <w:numId w:val="6"/>
        </w:numPr>
        <w:ind w:left="284" w:hanging="284"/>
      </w:pPr>
      <w:r>
        <w:t>Analisis Rasio Efektivitas PAD</w:t>
      </w:r>
    </w:p>
    <w:p w:rsidR="00125460" w:rsidRDefault="00125460" w:rsidP="00125460">
      <w:pPr>
        <w:pStyle w:val="JAK22aBODYARTIKEL"/>
        <w:ind w:left="284" w:firstLine="425"/>
      </w:pPr>
      <w:r>
        <w:t xml:space="preserve">Rasio ini digunakan untuk mengukur tingkat efektivitas PAD dengan cara membandingkan antara realisasi penerimaan PAD dan anggaran PAD yang telah ditetapkan sebelumnya. Semakin besar nilai rasio yang </w:t>
      </w:r>
      <w:r>
        <w:lastRenderedPageBreak/>
        <w:t>dihasilkan, semakin menunjukkan bahwa pemerintah daerah mampu mencapai bahkan melampaui target yang direncanakan, sehingga pengelolaan PAD dapat dikatakan efektif.</w:t>
      </w:r>
    </w:p>
    <w:p w:rsidR="0004588F" w:rsidRDefault="00125460" w:rsidP="00125460">
      <w:pPr>
        <w:pStyle w:val="JAK22aBODYARTIKEL"/>
        <w:ind w:left="284"/>
        <w:jc w:val="center"/>
      </w:pPr>
      <w:r>
        <w:t>Tabel 9. Hasil Perhitungan Rasio Efektivitas PAD Kabupaten Wonosobo Tahun 2020-2024</w:t>
      </w:r>
    </w:p>
    <w:tbl>
      <w:tblPr>
        <w:tblW w:w="4177" w:type="dxa"/>
        <w:tblInd w:w="142" w:type="dxa"/>
        <w:tblLook w:val="04A0" w:firstRow="1" w:lastRow="0" w:firstColumn="1" w:lastColumn="0" w:noHBand="0" w:noVBand="1"/>
      </w:tblPr>
      <w:tblGrid>
        <w:gridCol w:w="1134"/>
        <w:gridCol w:w="1484"/>
        <w:gridCol w:w="1559"/>
      </w:tblGrid>
      <w:tr w:rsidR="00125460" w:rsidRPr="00471406" w:rsidTr="00125460">
        <w:trPr>
          <w:trHeight w:val="600"/>
        </w:trPr>
        <w:tc>
          <w:tcPr>
            <w:tcW w:w="1134" w:type="dxa"/>
            <w:tcBorders>
              <w:top w:val="single" w:sz="4" w:space="0" w:color="auto"/>
              <w:left w:val="nil"/>
              <w:bottom w:val="single" w:sz="4" w:space="0" w:color="auto"/>
              <w:right w:val="nil"/>
            </w:tcBorders>
            <w:vAlign w:val="center"/>
            <w:hideMark/>
          </w:tcPr>
          <w:p w:rsidR="00125460" w:rsidRPr="00471406" w:rsidRDefault="00125460" w:rsidP="00674D36">
            <w:pPr>
              <w:jc w:val="center"/>
              <w:rPr>
                <w:rFonts w:eastAsia="Times New Roman"/>
                <w:b/>
                <w:bCs/>
                <w:color w:val="000000"/>
                <w:sz w:val="20"/>
                <w:szCs w:val="20"/>
                <w:lang w:val="id-ID" w:eastAsia="id-ID"/>
              </w:rPr>
            </w:pPr>
            <w:r w:rsidRPr="00471406">
              <w:rPr>
                <w:rFonts w:eastAsia="Times New Roman"/>
                <w:b/>
                <w:bCs/>
                <w:color w:val="000000"/>
                <w:sz w:val="20"/>
                <w:szCs w:val="20"/>
                <w:lang w:val="id-ID"/>
              </w:rPr>
              <w:t>Tahun</w:t>
            </w:r>
          </w:p>
        </w:tc>
        <w:tc>
          <w:tcPr>
            <w:tcW w:w="1484" w:type="dxa"/>
            <w:tcBorders>
              <w:top w:val="single" w:sz="4" w:space="0" w:color="auto"/>
              <w:left w:val="nil"/>
              <w:bottom w:val="single" w:sz="4" w:space="0" w:color="auto"/>
              <w:right w:val="nil"/>
            </w:tcBorders>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Rasio Efektivitas (%)</w:t>
            </w:r>
          </w:p>
        </w:tc>
        <w:tc>
          <w:tcPr>
            <w:tcW w:w="1559" w:type="dxa"/>
            <w:tcBorders>
              <w:top w:val="single" w:sz="4" w:space="0" w:color="auto"/>
              <w:left w:val="nil"/>
              <w:bottom w:val="single" w:sz="4" w:space="0" w:color="auto"/>
              <w:right w:val="nil"/>
            </w:tcBorders>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Kriteria</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2020</w:t>
            </w:r>
          </w:p>
        </w:tc>
        <w:tc>
          <w:tcPr>
            <w:tcW w:w="148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120,64 </w:t>
            </w:r>
          </w:p>
        </w:tc>
        <w:tc>
          <w:tcPr>
            <w:tcW w:w="1559"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Efektif</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2021</w:t>
            </w:r>
          </w:p>
        </w:tc>
        <w:tc>
          <w:tcPr>
            <w:tcW w:w="148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142,71 </w:t>
            </w:r>
          </w:p>
        </w:tc>
        <w:tc>
          <w:tcPr>
            <w:tcW w:w="1559"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Efektif</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2022</w:t>
            </w:r>
          </w:p>
        </w:tc>
        <w:tc>
          <w:tcPr>
            <w:tcW w:w="148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112,16 </w:t>
            </w:r>
          </w:p>
        </w:tc>
        <w:tc>
          <w:tcPr>
            <w:tcW w:w="1559"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Efektif</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2023</w:t>
            </w:r>
          </w:p>
        </w:tc>
        <w:tc>
          <w:tcPr>
            <w:tcW w:w="148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97,35 </w:t>
            </w:r>
          </w:p>
        </w:tc>
        <w:tc>
          <w:tcPr>
            <w:tcW w:w="1559"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Cukup Efektif</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2024</w:t>
            </w:r>
          </w:p>
        </w:tc>
        <w:tc>
          <w:tcPr>
            <w:tcW w:w="148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97,70 </w:t>
            </w:r>
          </w:p>
        </w:tc>
        <w:tc>
          <w:tcPr>
            <w:tcW w:w="1559"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Cukup Efektif</w:t>
            </w:r>
          </w:p>
        </w:tc>
      </w:tr>
      <w:tr w:rsidR="00125460" w:rsidRPr="00471406" w:rsidTr="00125460">
        <w:trPr>
          <w:trHeight w:val="379"/>
        </w:trPr>
        <w:tc>
          <w:tcPr>
            <w:tcW w:w="1134" w:type="dxa"/>
            <w:tcBorders>
              <w:top w:val="single" w:sz="4" w:space="0" w:color="auto"/>
              <w:left w:val="nil"/>
              <w:bottom w:val="single" w:sz="4" w:space="0" w:color="auto"/>
              <w:right w:val="nil"/>
            </w:tcBorders>
            <w:noWrap/>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Rata-rata</w:t>
            </w:r>
          </w:p>
        </w:tc>
        <w:tc>
          <w:tcPr>
            <w:tcW w:w="1484" w:type="dxa"/>
            <w:tcBorders>
              <w:top w:val="single" w:sz="4" w:space="0" w:color="auto"/>
              <w:left w:val="nil"/>
              <w:bottom w:val="single" w:sz="4" w:space="0" w:color="auto"/>
              <w:right w:val="nil"/>
            </w:tcBorders>
            <w:noWrap/>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 xml:space="preserve">114,11 </w:t>
            </w:r>
          </w:p>
        </w:tc>
        <w:tc>
          <w:tcPr>
            <w:tcW w:w="1559" w:type="dxa"/>
            <w:tcBorders>
              <w:top w:val="single" w:sz="4" w:space="0" w:color="auto"/>
              <w:left w:val="nil"/>
              <w:bottom w:val="single" w:sz="4" w:space="0" w:color="auto"/>
              <w:right w:val="nil"/>
            </w:tcBorders>
            <w:noWrap/>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Sangat Efektif</w:t>
            </w:r>
          </w:p>
        </w:tc>
      </w:tr>
    </w:tbl>
    <w:p w:rsidR="00125460" w:rsidRPr="00570D64" w:rsidRDefault="00125460" w:rsidP="00125460">
      <w:pPr>
        <w:pStyle w:val="JAK22aBODYARTIKEL"/>
        <w:ind w:left="284" w:firstLine="425"/>
        <w:rPr>
          <w:sz w:val="20"/>
          <w:szCs w:val="20"/>
        </w:rPr>
      </w:pPr>
    </w:p>
    <w:p w:rsidR="00125460" w:rsidRPr="00570D64" w:rsidRDefault="00125460" w:rsidP="00125460">
      <w:pPr>
        <w:pStyle w:val="JAK22aBODYARTIKEL"/>
        <w:ind w:left="284"/>
        <w:rPr>
          <w:sz w:val="20"/>
          <w:szCs w:val="20"/>
        </w:rPr>
      </w:pPr>
      <w:r w:rsidRPr="00570D64">
        <w:rPr>
          <w:sz w:val="20"/>
          <w:szCs w:val="20"/>
        </w:rPr>
        <w:t xml:space="preserve">Sumber: </w:t>
      </w:r>
      <w:r w:rsidRPr="00C04997">
        <w:rPr>
          <w:sz w:val="20"/>
          <w:szCs w:val="20"/>
        </w:rPr>
        <w:t>LRA Kabupaten Wonosobo (Data yang diolah, 2025)</w:t>
      </w:r>
    </w:p>
    <w:p w:rsidR="00125460" w:rsidRPr="00570D64" w:rsidRDefault="00125460" w:rsidP="00125460">
      <w:pPr>
        <w:pStyle w:val="JAK22aBODYARTIKEL"/>
        <w:ind w:left="284" w:firstLine="425"/>
        <w:rPr>
          <w:sz w:val="20"/>
          <w:szCs w:val="20"/>
        </w:rPr>
      </w:pPr>
    </w:p>
    <w:p w:rsidR="0004588F" w:rsidRPr="00125460" w:rsidRDefault="00125460" w:rsidP="00125460">
      <w:pPr>
        <w:pStyle w:val="JAK22aBODYARTIKEL"/>
        <w:ind w:left="284" w:firstLine="425"/>
      </w:pPr>
      <w:r w:rsidRPr="00125460">
        <w:t>Selama tahun 2020–2024, tingkat efektivitas PAD Kabupaten Wonosobo menunjukkan rata-rata sebesar 114,11% yang berarti berada dalam kategori sangat efektif. Capaian tertinggi terjadi pada tahun 2021 dengan rasio efektivitas mencapai 142,71%, menandakan bahwa realisasi PAD jauh melampaui target yang telah ditetapkan. Sementara nilai terendah terjadi pada tahun 2023 sebesar 97,35%, yang masih berada dalam</w:t>
      </w:r>
    </w:p>
    <w:p w:rsidR="00125460" w:rsidRDefault="00125460" w:rsidP="00125460">
      <w:pPr>
        <w:pStyle w:val="JAK22aBODYARTIKEL"/>
        <w:ind w:left="142"/>
        <w:rPr>
          <w:sz w:val="20"/>
          <w:szCs w:val="20"/>
        </w:rPr>
      </w:pPr>
      <w:r>
        <w:rPr>
          <w:noProof/>
          <w:lang w:val="id-ID" w:eastAsia="id-ID"/>
        </w:rPr>
        <w:drawing>
          <wp:anchor distT="0" distB="0" distL="114300" distR="114300" simplePos="0" relativeHeight="251659264" behindDoc="0" locked="0" layoutInCell="1" allowOverlap="1" wp14:anchorId="51B95207" wp14:editId="4D8CAE49">
            <wp:simplePos x="0" y="0"/>
            <wp:positionH relativeFrom="column">
              <wp:posOffset>0</wp:posOffset>
            </wp:positionH>
            <wp:positionV relativeFrom="paragraph">
              <wp:posOffset>171450</wp:posOffset>
            </wp:positionV>
            <wp:extent cx="2876550" cy="1533525"/>
            <wp:effectExtent l="0" t="0" r="0" b="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125460" w:rsidRDefault="00125460" w:rsidP="00125460">
      <w:pPr>
        <w:pStyle w:val="JAK22aBODYARTIKEL"/>
        <w:ind w:left="284"/>
        <w:rPr>
          <w:sz w:val="20"/>
          <w:szCs w:val="20"/>
        </w:rPr>
      </w:pPr>
    </w:p>
    <w:p w:rsidR="00125460" w:rsidRDefault="00125460" w:rsidP="00125460">
      <w:pPr>
        <w:pStyle w:val="JAK22aBODYARTIKEL"/>
        <w:ind w:left="284"/>
        <w:rPr>
          <w:sz w:val="20"/>
          <w:szCs w:val="20"/>
        </w:rPr>
      </w:pPr>
      <w:r w:rsidRPr="00C04997">
        <w:rPr>
          <w:sz w:val="20"/>
          <w:szCs w:val="20"/>
        </w:rPr>
        <w:t xml:space="preserve">Sumber: </w:t>
      </w:r>
      <w:r>
        <w:rPr>
          <w:sz w:val="20"/>
          <w:szCs w:val="20"/>
        </w:rPr>
        <w:t xml:space="preserve">BPPKAD Kabupaten Wonosobo (Data </w:t>
      </w:r>
      <w:r w:rsidRPr="00C04997">
        <w:rPr>
          <w:sz w:val="20"/>
          <w:szCs w:val="20"/>
        </w:rPr>
        <w:t>yang diolah, 2025)</w:t>
      </w:r>
    </w:p>
    <w:p w:rsidR="00125460" w:rsidRPr="00C04997" w:rsidRDefault="00125460" w:rsidP="00125460">
      <w:pPr>
        <w:pStyle w:val="JAK22aBODYARTIKEL"/>
        <w:ind w:left="284" w:firstLine="425"/>
        <w:rPr>
          <w:sz w:val="20"/>
          <w:szCs w:val="20"/>
        </w:rPr>
      </w:pPr>
    </w:p>
    <w:p w:rsidR="00125460" w:rsidRDefault="00125460" w:rsidP="00125460">
      <w:pPr>
        <w:pStyle w:val="JAK22aBODYARTIKEL"/>
        <w:ind w:left="284"/>
        <w:jc w:val="center"/>
      </w:pPr>
      <w:r w:rsidRPr="00125460">
        <w:t>Gambar 4. Grafik Rasio Efektivitas PAD Kabupaten Wonosobo Tahun 2020-2024</w:t>
      </w:r>
    </w:p>
    <w:p w:rsidR="00125460" w:rsidRDefault="00125460" w:rsidP="00125460">
      <w:pPr>
        <w:pStyle w:val="JAK22aBODYARTIKEL"/>
        <w:ind w:left="284" w:firstLine="425"/>
      </w:pPr>
      <w:r>
        <w:lastRenderedPageBreak/>
        <w:t>Grafik menunjukkan bahwa efektivitas PAD Kabupaten Wonosobo mengalami tren penurunan sejak tahun 2022. Penurunan yang cukup signifikan terlihat pada tahun 2023, yaitu sebesar -14,81% dibandingkan tahun sebelumnya, sehingga berada pada kategori cukup efektif. Kondisi ini mengindikasikan bahwa realisasi PAD belum sepenuhnya mampu memenuhi target yang ditetapkan.</w:t>
      </w:r>
    </w:p>
    <w:p w:rsidR="00125460" w:rsidRDefault="00125460" w:rsidP="00125460">
      <w:pPr>
        <w:pStyle w:val="JAK22aBODYARTIKEL"/>
        <w:ind w:left="284" w:firstLine="425"/>
      </w:pPr>
      <w:r>
        <w:t>Tingginya efektivitas PAD pada tahun-tahun sebelumnya dipengaruhi oleh kemampuan pemerintah daerah dalam menetapkan target penerimaan secara realistis sesuai kapasitas riil daerah. Penetapan target yang tepat serta strategi penagihan yang optimal mendorong pencapaian realisasi PAD mendekati bahkan melampaui target. Namun demikian, penyusunan target PAD tetap harus mempertimbangkan kebutuhan fiskal dan kondisi ekonomi agar tidak menimbulkan ketidaksesuaian antara rencana dan realisasi. Ketidaktepatan dalam perencanaan dapat berpotensi menimbulkan SiLPA dan mengurangi efisiensi anggaran.</w:t>
      </w:r>
    </w:p>
    <w:p w:rsidR="009F2228" w:rsidRDefault="009F2228" w:rsidP="009F2228">
      <w:pPr>
        <w:pStyle w:val="JAK22aBODYARTIKEL"/>
        <w:numPr>
          <w:ilvl w:val="1"/>
          <w:numId w:val="6"/>
        </w:numPr>
        <w:ind w:left="284" w:hanging="284"/>
      </w:pPr>
      <w:r>
        <w:t>Analisis Rasio Ketrgantungan Keuangan Daerah</w:t>
      </w:r>
    </w:p>
    <w:p w:rsidR="00125460" w:rsidRDefault="00125460" w:rsidP="00125460">
      <w:pPr>
        <w:pStyle w:val="JAK22aBODYARTIKEL"/>
        <w:ind w:left="284" w:firstLine="425"/>
      </w:pPr>
      <w:r>
        <w:t>Rasio ini digunakan untuk mengukur tingkat ketergantungan keuangan daerah terhadap dana transfer dari pemerintah pusat. Semakin tinggi nilai rasionya, semakin besar porsi pendanaan daerah yang berasal dari sumber eksternal, sehingga menunjukkan rendahnya kemandirian fiskal daerah dalam membiayai kebutuhan pemerintahannya sendiri.</w:t>
      </w:r>
    </w:p>
    <w:p w:rsidR="00125460" w:rsidRDefault="00125460" w:rsidP="00125460">
      <w:pPr>
        <w:pStyle w:val="JAK22aBODYARTIKEL"/>
        <w:ind w:left="284"/>
        <w:jc w:val="center"/>
      </w:pPr>
      <w:r>
        <w:t>Tabel 10. Hasil Perhitungan Rasio Ketergantungan Keuangan Daerah Kabupaten Wonosobo Tahun 2020-2024</w:t>
      </w:r>
    </w:p>
    <w:tbl>
      <w:tblPr>
        <w:tblW w:w="4111" w:type="dxa"/>
        <w:tblInd w:w="142" w:type="dxa"/>
        <w:tblLayout w:type="fixed"/>
        <w:tblLook w:val="04A0" w:firstRow="1" w:lastRow="0" w:firstColumn="1" w:lastColumn="0" w:noHBand="0" w:noVBand="1"/>
      </w:tblPr>
      <w:tblGrid>
        <w:gridCol w:w="1134"/>
        <w:gridCol w:w="1616"/>
        <w:gridCol w:w="1361"/>
      </w:tblGrid>
      <w:tr w:rsidR="00125460" w:rsidRPr="00471406" w:rsidTr="00125460">
        <w:trPr>
          <w:trHeight w:val="600"/>
        </w:trPr>
        <w:tc>
          <w:tcPr>
            <w:tcW w:w="1134" w:type="dxa"/>
            <w:tcBorders>
              <w:top w:val="single" w:sz="4" w:space="0" w:color="auto"/>
              <w:left w:val="nil"/>
              <w:bottom w:val="single" w:sz="4" w:space="0" w:color="auto"/>
              <w:right w:val="nil"/>
            </w:tcBorders>
            <w:vAlign w:val="center"/>
            <w:hideMark/>
          </w:tcPr>
          <w:p w:rsidR="00125460" w:rsidRPr="00471406" w:rsidRDefault="00125460" w:rsidP="00674D36">
            <w:pPr>
              <w:jc w:val="center"/>
              <w:rPr>
                <w:rFonts w:eastAsia="Times New Roman"/>
                <w:b/>
                <w:bCs/>
                <w:color w:val="000000"/>
                <w:sz w:val="20"/>
                <w:szCs w:val="20"/>
                <w:lang w:val="id-ID" w:eastAsia="id-ID"/>
              </w:rPr>
            </w:pPr>
            <w:r w:rsidRPr="00471406">
              <w:rPr>
                <w:rFonts w:eastAsia="Times New Roman"/>
                <w:b/>
                <w:bCs/>
                <w:color w:val="000000"/>
                <w:sz w:val="20"/>
                <w:szCs w:val="20"/>
                <w:lang w:val="id-ID"/>
              </w:rPr>
              <w:t>Tahun</w:t>
            </w:r>
          </w:p>
        </w:tc>
        <w:tc>
          <w:tcPr>
            <w:tcW w:w="1616" w:type="dxa"/>
            <w:tcBorders>
              <w:top w:val="single" w:sz="4" w:space="0" w:color="auto"/>
              <w:left w:val="nil"/>
              <w:bottom w:val="single" w:sz="4" w:space="0" w:color="auto"/>
              <w:right w:val="nil"/>
            </w:tcBorders>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Rasio Ketergantungan (%)</w:t>
            </w:r>
          </w:p>
        </w:tc>
        <w:tc>
          <w:tcPr>
            <w:tcW w:w="1361" w:type="dxa"/>
            <w:tcBorders>
              <w:top w:val="single" w:sz="4" w:space="0" w:color="auto"/>
              <w:left w:val="nil"/>
              <w:bottom w:val="single" w:sz="4" w:space="0" w:color="auto"/>
              <w:right w:val="nil"/>
            </w:tcBorders>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Kriteria</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2020</w:t>
            </w:r>
          </w:p>
        </w:tc>
        <w:tc>
          <w:tcPr>
            <w:tcW w:w="1616"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67,17 </w:t>
            </w:r>
          </w:p>
        </w:tc>
        <w:tc>
          <w:tcPr>
            <w:tcW w:w="1361"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Tinggi</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2021</w:t>
            </w:r>
          </w:p>
        </w:tc>
        <w:tc>
          <w:tcPr>
            <w:tcW w:w="1616"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76,73 </w:t>
            </w:r>
          </w:p>
        </w:tc>
        <w:tc>
          <w:tcPr>
            <w:tcW w:w="1361"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Tinggi</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lastRenderedPageBreak/>
              <w:t>2022</w:t>
            </w:r>
          </w:p>
        </w:tc>
        <w:tc>
          <w:tcPr>
            <w:tcW w:w="1616"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83,98 </w:t>
            </w:r>
          </w:p>
        </w:tc>
        <w:tc>
          <w:tcPr>
            <w:tcW w:w="1361"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Tinggi</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2023</w:t>
            </w:r>
          </w:p>
        </w:tc>
        <w:tc>
          <w:tcPr>
            <w:tcW w:w="1616"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84,63 </w:t>
            </w:r>
          </w:p>
        </w:tc>
        <w:tc>
          <w:tcPr>
            <w:tcW w:w="1361"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Tinggi</w:t>
            </w:r>
          </w:p>
        </w:tc>
      </w:tr>
      <w:tr w:rsidR="00125460" w:rsidRPr="00471406" w:rsidTr="00125460">
        <w:trPr>
          <w:trHeight w:val="379"/>
        </w:trPr>
        <w:tc>
          <w:tcPr>
            <w:tcW w:w="1134"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2024</w:t>
            </w:r>
          </w:p>
        </w:tc>
        <w:tc>
          <w:tcPr>
            <w:tcW w:w="1616"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 xml:space="preserve">84,89 </w:t>
            </w:r>
          </w:p>
        </w:tc>
        <w:tc>
          <w:tcPr>
            <w:tcW w:w="1361" w:type="dxa"/>
            <w:noWrap/>
            <w:vAlign w:val="center"/>
            <w:hideMark/>
          </w:tcPr>
          <w:p w:rsidR="00125460" w:rsidRPr="00471406" w:rsidRDefault="00125460" w:rsidP="00674D36">
            <w:pPr>
              <w:jc w:val="center"/>
              <w:rPr>
                <w:rFonts w:eastAsia="Times New Roman"/>
                <w:color w:val="000000"/>
                <w:sz w:val="20"/>
                <w:szCs w:val="20"/>
                <w:lang w:val="id-ID"/>
              </w:rPr>
            </w:pPr>
            <w:r w:rsidRPr="00471406">
              <w:rPr>
                <w:rFonts w:eastAsia="Times New Roman"/>
                <w:color w:val="000000"/>
                <w:sz w:val="20"/>
                <w:szCs w:val="20"/>
                <w:lang w:val="id-ID"/>
              </w:rPr>
              <w:t>Sangat Tinggi</w:t>
            </w:r>
          </w:p>
        </w:tc>
      </w:tr>
      <w:tr w:rsidR="00125460" w:rsidRPr="00471406" w:rsidTr="00125460">
        <w:trPr>
          <w:trHeight w:val="379"/>
        </w:trPr>
        <w:tc>
          <w:tcPr>
            <w:tcW w:w="1134" w:type="dxa"/>
            <w:tcBorders>
              <w:top w:val="single" w:sz="4" w:space="0" w:color="auto"/>
              <w:left w:val="nil"/>
              <w:bottom w:val="single" w:sz="4" w:space="0" w:color="auto"/>
              <w:right w:val="nil"/>
            </w:tcBorders>
            <w:noWrap/>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Rata-rata</w:t>
            </w:r>
          </w:p>
        </w:tc>
        <w:tc>
          <w:tcPr>
            <w:tcW w:w="1616" w:type="dxa"/>
            <w:tcBorders>
              <w:top w:val="single" w:sz="4" w:space="0" w:color="auto"/>
              <w:left w:val="nil"/>
              <w:bottom w:val="single" w:sz="4" w:space="0" w:color="auto"/>
              <w:right w:val="nil"/>
            </w:tcBorders>
            <w:noWrap/>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 xml:space="preserve">79,48 </w:t>
            </w:r>
          </w:p>
        </w:tc>
        <w:tc>
          <w:tcPr>
            <w:tcW w:w="1361" w:type="dxa"/>
            <w:tcBorders>
              <w:top w:val="single" w:sz="4" w:space="0" w:color="auto"/>
              <w:left w:val="nil"/>
              <w:bottom w:val="single" w:sz="4" w:space="0" w:color="auto"/>
              <w:right w:val="nil"/>
            </w:tcBorders>
            <w:noWrap/>
            <w:vAlign w:val="center"/>
            <w:hideMark/>
          </w:tcPr>
          <w:p w:rsidR="00125460" w:rsidRPr="00471406" w:rsidRDefault="00125460" w:rsidP="00674D36">
            <w:pPr>
              <w:jc w:val="center"/>
              <w:rPr>
                <w:rFonts w:eastAsia="Times New Roman"/>
                <w:b/>
                <w:bCs/>
                <w:color w:val="000000"/>
                <w:sz w:val="20"/>
                <w:szCs w:val="20"/>
                <w:lang w:val="id-ID"/>
              </w:rPr>
            </w:pPr>
            <w:r w:rsidRPr="00471406">
              <w:rPr>
                <w:rFonts w:eastAsia="Times New Roman"/>
                <w:b/>
                <w:bCs/>
                <w:color w:val="000000"/>
                <w:sz w:val="20"/>
                <w:szCs w:val="20"/>
                <w:lang w:val="id-ID"/>
              </w:rPr>
              <w:t>Sangat Tinggi</w:t>
            </w:r>
          </w:p>
        </w:tc>
      </w:tr>
    </w:tbl>
    <w:p w:rsidR="00125460" w:rsidRPr="00570D64" w:rsidRDefault="00125460" w:rsidP="00125460">
      <w:pPr>
        <w:pStyle w:val="JAK22aBODYARTIKEL"/>
        <w:ind w:left="284" w:firstLine="425"/>
        <w:rPr>
          <w:sz w:val="20"/>
          <w:szCs w:val="20"/>
        </w:rPr>
      </w:pPr>
    </w:p>
    <w:p w:rsidR="00125460" w:rsidRPr="00570D64" w:rsidRDefault="00125460" w:rsidP="00125460">
      <w:pPr>
        <w:pStyle w:val="JAK22aBODYARTIKEL"/>
        <w:ind w:left="284"/>
        <w:rPr>
          <w:sz w:val="20"/>
          <w:szCs w:val="20"/>
        </w:rPr>
      </w:pPr>
      <w:r w:rsidRPr="00570D64">
        <w:rPr>
          <w:sz w:val="20"/>
          <w:szCs w:val="20"/>
        </w:rPr>
        <w:t xml:space="preserve">Sumber: </w:t>
      </w:r>
      <w:r w:rsidRPr="00C04997">
        <w:rPr>
          <w:sz w:val="20"/>
          <w:szCs w:val="20"/>
        </w:rPr>
        <w:t>LRA Kabupaten Wonosobo (Data yang diolah, 2025)</w:t>
      </w:r>
    </w:p>
    <w:p w:rsidR="00125460" w:rsidRPr="00570D64" w:rsidRDefault="00125460" w:rsidP="00125460">
      <w:pPr>
        <w:pStyle w:val="JAK22aBODYARTIKEL"/>
        <w:ind w:left="284" w:firstLine="425"/>
        <w:rPr>
          <w:sz w:val="20"/>
          <w:szCs w:val="20"/>
        </w:rPr>
      </w:pPr>
    </w:p>
    <w:p w:rsidR="00125460" w:rsidRDefault="00125460" w:rsidP="00125460">
      <w:pPr>
        <w:pStyle w:val="JAK22aBODYARTIKEL"/>
        <w:ind w:left="284" w:firstLine="425"/>
      </w:pPr>
      <w:r w:rsidRPr="00056761">
        <w:t>Selama tahun 2020–2024, rata-rata rasio ketergantungan keuangan Kabupaten Wonosobo mencapai 79,48% yang berarti masuk dalam kategori sangat tinggi. Angka ini menunjukkan bahwa struktur pendapatan daerah masih didominasi oleh dana transfer dari pemerintah pusat dan provinsi, sehingga kemandirian fiskal daerah dalam membiayai aktivitas pemerintahan dan pembangunan masih rendah.</w:t>
      </w:r>
    </w:p>
    <w:p w:rsidR="00125460" w:rsidRDefault="00125460" w:rsidP="00125460">
      <w:pPr>
        <w:pStyle w:val="JAK22aBODYARTIKEL"/>
        <w:ind w:left="284" w:firstLine="425"/>
      </w:pPr>
    </w:p>
    <w:p w:rsidR="00125460" w:rsidRDefault="00125460" w:rsidP="00125460">
      <w:pPr>
        <w:pStyle w:val="JAK22aBODYARTIKEL"/>
      </w:pPr>
      <w:r>
        <w:rPr>
          <w:noProof/>
          <w:lang w:val="id-ID" w:eastAsia="id-ID"/>
        </w:rPr>
        <w:drawing>
          <wp:inline distT="0" distB="0" distL="0" distR="0">
            <wp:extent cx="2886075" cy="1552575"/>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25460" w:rsidRDefault="00125460" w:rsidP="00125460">
      <w:pPr>
        <w:pStyle w:val="JAK22aBODYARTIKEL"/>
        <w:ind w:left="284"/>
        <w:rPr>
          <w:sz w:val="20"/>
          <w:szCs w:val="20"/>
        </w:rPr>
      </w:pPr>
    </w:p>
    <w:p w:rsidR="00125460" w:rsidRDefault="00125460" w:rsidP="00125460">
      <w:pPr>
        <w:pStyle w:val="JAK22aBODYARTIKEL"/>
        <w:ind w:left="284"/>
        <w:rPr>
          <w:sz w:val="20"/>
          <w:szCs w:val="20"/>
        </w:rPr>
      </w:pPr>
      <w:r w:rsidRPr="00C04997">
        <w:rPr>
          <w:sz w:val="20"/>
          <w:szCs w:val="20"/>
        </w:rPr>
        <w:t xml:space="preserve">Sumber: </w:t>
      </w:r>
      <w:r>
        <w:rPr>
          <w:sz w:val="20"/>
          <w:szCs w:val="20"/>
        </w:rPr>
        <w:t xml:space="preserve">BPPKAD Kabupaten Wonosobo (Data </w:t>
      </w:r>
      <w:r w:rsidRPr="00C04997">
        <w:rPr>
          <w:sz w:val="20"/>
          <w:szCs w:val="20"/>
        </w:rPr>
        <w:t>yang diolah, 2025)</w:t>
      </w:r>
    </w:p>
    <w:p w:rsidR="00125460" w:rsidRPr="00C04997" w:rsidRDefault="00125460" w:rsidP="00125460">
      <w:pPr>
        <w:pStyle w:val="JAK22aBODYARTIKEL"/>
        <w:ind w:left="284" w:firstLine="425"/>
        <w:rPr>
          <w:sz w:val="20"/>
          <w:szCs w:val="20"/>
        </w:rPr>
      </w:pPr>
    </w:p>
    <w:p w:rsidR="00415396" w:rsidRDefault="00415396" w:rsidP="00415396">
      <w:pPr>
        <w:pStyle w:val="JAK22aBODYARTIKEL"/>
        <w:ind w:left="284"/>
        <w:jc w:val="center"/>
      </w:pPr>
      <w:r>
        <w:t>Gambar 5. GrafimRasio Ketergantungan Keuangan Daerah Kabupaten Wonosobo Tahun</w:t>
      </w:r>
    </w:p>
    <w:p w:rsidR="00125460" w:rsidRDefault="00415396" w:rsidP="00415396">
      <w:pPr>
        <w:pStyle w:val="JAK22aBODYARTIKEL"/>
        <w:ind w:left="284"/>
        <w:jc w:val="center"/>
      </w:pPr>
      <w:r>
        <w:t>2020-2024</w:t>
      </w:r>
    </w:p>
    <w:p w:rsidR="00415396" w:rsidRPr="00415396" w:rsidRDefault="00415396" w:rsidP="00125460">
      <w:pPr>
        <w:pStyle w:val="JAK22aBODYARTIKEL"/>
        <w:ind w:left="284" w:firstLine="425"/>
        <w:rPr>
          <w:sz w:val="20"/>
          <w:szCs w:val="20"/>
        </w:rPr>
      </w:pPr>
    </w:p>
    <w:p w:rsidR="00415396" w:rsidRDefault="00415396" w:rsidP="00415396">
      <w:pPr>
        <w:pStyle w:val="JAK22aBODYARTIKEL"/>
        <w:ind w:left="284" w:firstLine="425"/>
      </w:pPr>
      <w:r>
        <w:t xml:space="preserve">Pada tahun 2024, tingkat ketergantungan keuangan Kabupaten Wonosobo mencapai 84,89% yang merupakan nilai tertinggi selama periode penelitian. Kenaikan rasio dari tahun ke tahun menunjukkan bahwa porsi pendanaan daerah yang berasal dari dana transfer semakin dominan. Dengan nilai rasio yang konsisten berada di atas 50% ketergantungan tersebut tergolong sangat tinggi, sehingga menandakan </w:t>
      </w:r>
      <w:r>
        <w:lastRenderedPageBreak/>
        <w:t>bahwa peran PAD dalam mendukung pembiayaan daerah masih terbatas.</w:t>
      </w:r>
    </w:p>
    <w:p w:rsidR="00415396" w:rsidRDefault="00415396" w:rsidP="00415396">
      <w:pPr>
        <w:pStyle w:val="JAK22aBODYARTIKEL"/>
        <w:ind w:left="284" w:firstLine="425"/>
      </w:pPr>
      <w:r>
        <w:t>Rendahnya kontribusi PAD menjadi faktor utama yang mendorong tingginya ketergantungan Kabupaten Wonosobo terhadap pendapatan transfer. Sumber-sumber penerimaan daerah seperti pajak daerah dan retribusi masih terbatas, baik dari sisi basis penerimaan maupun kapasitas optimalisasinya. Di sisi lain, porsi belanja operasi, khususnya yang dibiayai melalui Dana Alokasi Umum (DAU) cukup besar, sehingga kebutuhan fiskal daerah banyak disokong oleh pendapatan transfer.</w:t>
      </w:r>
    </w:p>
    <w:p w:rsidR="009F2228" w:rsidRPr="009F2228" w:rsidRDefault="009F2228" w:rsidP="009F2228">
      <w:pPr>
        <w:pStyle w:val="JAK22aBODYARTIKEL"/>
        <w:rPr>
          <w:b/>
        </w:rPr>
      </w:pPr>
      <w:r w:rsidRPr="009F2228">
        <w:rPr>
          <w:b/>
        </w:rPr>
        <w:t>Pertumbuhan Ekonomi Daerah Pemerintah Kabupaten Wonosobo Tahun 2020-2024</w:t>
      </w:r>
    </w:p>
    <w:p w:rsidR="009F2228" w:rsidRDefault="009F2228" w:rsidP="009F2228">
      <w:pPr>
        <w:pStyle w:val="JAK22aBODYARTIKEL"/>
        <w:numPr>
          <w:ilvl w:val="0"/>
          <w:numId w:val="9"/>
        </w:numPr>
        <w:ind w:left="284" w:hanging="284"/>
      </w:pPr>
      <w:r>
        <w:t xml:space="preserve">Analisis </w:t>
      </w:r>
      <w:r w:rsidRPr="00415396">
        <w:rPr>
          <w:i/>
        </w:rPr>
        <w:t>Share</w:t>
      </w:r>
    </w:p>
    <w:p w:rsidR="00415396" w:rsidRDefault="00415396" w:rsidP="00415396">
      <w:pPr>
        <w:pStyle w:val="JAK22aBODYARTIKEL"/>
        <w:ind w:left="284" w:firstLine="425"/>
      </w:pPr>
      <w:r>
        <w:t xml:space="preserve">Analisis </w:t>
      </w:r>
      <w:r w:rsidRPr="00F87E8A">
        <w:rPr>
          <w:i/>
        </w:rPr>
        <w:t>share</w:t>
      </w:r>
      <w:r>
        <w:t xml:space="preserve"> digunakan untuk mengukur sejauh mana PAD berkontribusi dalam membiayai belanja daerah. Semakin tinggi nilai </w:t>
      </w:r>
      <w:r w:rsidRPr="00F87E8A">
        <w:rPr>
          <w:i/>
        </w:rPr>
        <w:t>share</w:t>
      </w:r>
      <w:r>
        <w:t xml:space="preserve">, semakin besar kemampuan daerah dalam mendukung kegiatan pemerintahan dan pembangunan secara mandiri tanpa bergantung secara dominan pada dana transfer dari pemerintah pusat. Dengan demikian, besarnya nilai </w:t>
      </w:r>
      <w:r w:rsidRPr="00F87E8A">
        <w:rPr>
          <w:i/>
        </w:rPr>
        <w:t>share</w:t>
      </w:r>
      <w:r>
        <w:t xml:space="preserve"> mencerminkan tingkat kemandirian fiskal daerah dalam memobilisasi sumber daya keuangan lokal.</w:t>
      </w:r>
    </w:p>
    <w:p w:rsidR="00415396" w:rsidRDefault="00415396" w:rsidP="00415396">
      <w:pPr>
        <w:pStyle w:val="JAK22aBODYARTIKEL"/>
        <w:ind w:left="284"/>
        <w:jc w:val="center"/>
      </w:pPr>
      <w:r>
        <w:t xml:space="preserve">Tabel 11. Hasil Perhitungan Analisis </w:t>
      </w:r>
      <w:r w:rsidRPr="00F87E8A">
        <w:rPr>
          <w:i/>
        </w:rPr>
        <w:t>Share</w:t>
      </w:r>
      <w:r>
        <w:t xml:space="preserve"> Kabupaten Wonosobo Tahun 2020-2024</w:t>
      </w:r>
    </w:p>
    <w:tbl>
      <w:tblPr>
        <w:tblW w:w="3647" w:type="dxa"/>
        <w:tblInd w:w="567" w:type="dxa"/>
        <w:tblLook w:val="04A0" w:firstRow="1" w:lastRow="0" w:firstColumn="1" w:lastColumn="0" w:noHBand="0" w:noVBand="1"/>
      </w:tblPr>
      <w:tblGrid>
        <w:gridCol w:w="1459"/>
        <w:gridCol w:w="2188"/>
      </w:tblGrid>
      <w:tr w:rsidR="00415396" w:rsidRPr="00415396" w:rsidTr="00415396">
        <w:trPr>
          <w:trHeight w:val="653"/>
        </w:trPr>
        <w:tc>
          <w:tcPr>
            <w:tcW w:w="1459" w:type="dxa"/>
            <w:tcBorders>
              <w:top w:val="single" w:sz="4" w:space="0" w:color="auto"/>
              <w:left w:val="nil"/>
              <w:bottom w:val="single" w:sz="4" w:space="0" w:color="auto"/>
              <w:right w:val="nil"/>
            </w:tcBorders>
            <w:vAlign w:val="center"/>
            <w:hideMark/>
          </w:tcPr>
          <w:p w:rsidR="00415396" w:rsidRPr="00415396" w:rsidRDefault="00415396" w:rsidP="00415396">
            <w:pPr>
              <w:jc w:val="center"/>
              <w:rPr>
                <w:rFonts w:eastAsia="Times New Roman" w:cs="Times New Roman"/>
                <w:b/>
                <w:bCs/>
                <w:color w:val="000000"/>
                <w:sz w:val="20"/>
                <w:szCs w:val="22"/>
                <w:lang w:val="id-ID" w:eastAsia="id-ID"/>
              </w:rPr>
            </w:pPr>
            <w:r w:rsidRPr="00415396">
              <w:rPr>
                <w:rFonts w:eastAsia="Times New Roman" w:cs="Times New Roman"/>
                <w:b/>
                <w:bCs/>
                <w:color w:val="000000"/>
                <w:sz w:val="20"/>
                <w:szCs w:val="22"/>
                <w:lang w:val="id-ID"/>
              </w:rPr>
              <w:t>Tahun</w:t>
            </w:r>
          </w:p>
        </w:tc>
        <w:tc>
          <w:tcPr>
            <w:tcW w:w="2188" w:type="dxa"/>
            <w:tcBorders>
              <w:top w:val="single" w:sz="4" w:space="0" w:color="auto"/>
              <w:left w:val="nil"/>
              <w:bottom w:val="single" w:sz="4" w:space="0" w:color="auto"/>
              <w:right w:val="nil"/>
            </w:tcBorders>
            <w:vAlign w:val="center"/>
            <w:hideMark/>
          </w:tcPr>
          <w:p w:rsidR="00415396" w:rsidRPr="00415396" w:rsidRDefault="00415396" w:rsidP="00415396">
            <w:pPr>
              <w:jc w:val="center"/>
              <w:rPr>
                <w:rFonts w:eastAsia="Times New Roman" w:cs="Times New Roman"/>
                <w:b/>
                <w:bCs/>
                <w:color w:val="000000"/>
                <w:sz w:val="20"/>
                <w:szCs w:val="22"/>
                <w:lang w:val="id-ID"/>
              </w:rPr>
            </w:pPr>
            <w:r w:rsidRPr="00415396">
              <w:rPr>
                <w:rFonts w:eastAsia="Times New Roman" w:cs="Times New Roman"/>
                <w:b/>
                <w:bCs/>
                <w:color w:val="000000"/>
                <w:sz w:val="20"/>
                <w:szCs w:val="22"/>
                <w:lang w:val="id-ID"/>
              </w:rPr>
              <w:t xml:space="preserve">Nilai </w:t>
            </w:r>
            <w:r w:rsidRPr="00415396">
              <w:rPr>
                <w:rFonts w:eastAsia="Times New Roman" w:cs="Times New Roman"/>
                <w:b/>
                <w:bCs/>
                <w:i/>
                <w:iCs/>
                <w:color w:val="000000"/>
                <w:sz w:val="20"/>
                <w:szCs w:val="22"/>
                <w:lang w:val="id-ID"/>
              </w:rPr>
              <w:t>Share</w:t>
            </w:r>
            <w:r w:rsidRPr="00415396">
              <w:rPr>
                <w:rFonts w:eastAsia="Times New Roman" w:cs="Times New Roman"/>
                <w:b/>
                <w:bCs/>
                <w:i/>
                <w:iCs/>
                <w:color w:val="000000"/>
                <w:sz w:val="20"/>
                <w:szCs w:val="22"/>
                <w:lang w:val="id-ID"/>
              </w:rPr>
              <w:br/>
            </w:r>
            <w:r w:rsidRPr="00415396">
              <w:rPr>
                <w:rFonts w:eastAsia="Times New Roman" w:cs="Times New Roman"/>
                <w:b/>
                <w:bCs/>
                <w:color w:val="000000"/>
                <w:sz w:val="20"/>
                <w:szCs w:val="22"/>
                <w:lang w:val="id-ID"/>
              </w:rPr>
              <w:t>(%)</w:t>
            </w:r>
          </w:p>
        </w:tc>
      </w:tr>
      <w:tr w:rsidR="00415396" w:rsidRPr="00415396" w:rsidTr="00415396">
        <w:trPr>
          <w:trHeight w:val="411"/>
        </w:trPr>
        <w:tc>
          <w:tcPr>
            <w:tcW w:w="1459"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2020</w:t>
            </w:r>
          </w:p>
        </w:tc>
        <w:tc>
          <w:tcPr>
            <w:tcW w:w="2188"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16,37</w:t>
            </w:r>
          </w:p>
        </w:tc>
      </w:tr>
      <w:tr w:rsidR="00415396" w:rsidRPr="00415396" w:rsidTr="00415396">
        <w:trPr>
          <w:trHeight w:val="411"/>
        </w:trPr>
        <w:tc>
          <w:tcPr>
            <w:tcW w:w="1459"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2021</w:t>
            </w:r>
          </w:p>
        </w:tc>
        <w:tc>
          <w:tcPr>
            <w:tcW w:w="2188"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18,26</w:t>
            </w:r>
          </w:p>
        </w:tc>
      </w:tr>
      <w:tr w:rsidR="00415396" w:rsidRPr="00415396" w:rsidTr="00415396">
        <w:trPr>
          <w:trHeight w:val="411"/>
        </w:trPr>
        <w:tc>
          <w:tcPr>
            <w:tcW w:w="1459"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2022</w:t>
            </w:r>
          </w:p>
        </w:tc>
        <w:tc>
          <w:tcPr>
            <w:tcW w:w="2188"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13,17</w:t>
            </w:r>
          </w:p>
        </w:tc>
      </w:tr>
      <w:tr w:rsidR="00415396" w:rsidRPr="00415396" w:rsidTr="00415396">
        <w:trPr>
          <w:trHeight w:val="411"/>
        </w:trPr>
        <w:tc>
          <w:tcPr>
            <w:tcW w:w="1459"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2023</w:t>
            </w:r>
          </w:p>
        </w:tc>
        <w:tc>
          <w:tcPr>
            <w:tcW w:w="2188"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12,68</w:t>
            </w:r>
          </w:p>
        </w:tc>
      </w:tr>
      <w:tr w:rsidR="00415396" w:rsidRPr="00415396" w:rsidTr="00415396">
        <w:trPr>
          <w:trHeight w:val="411"/>
        </w:trPr>
        <w:tc>
          <w:tcPr>
            <w:tcW w:w="1459"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2024</w:t>
            </w:r>
          </w:p>
        </w:tc>
        <w:tc>
          <w:tcPr>
            <w:tcW w:w="2188" w:type="dxa"/>
            <w:noWrap/>
            <w:vAlign w:val="center"/>
            <w:hideMark/>
          </w:tcPr>
          <w:p w:rsidR="00415396" w:rsidRPr="00415396" w:rsidRDefault="00415396" w:rsidP="00415396">
            <w:pPr>
              <w:jc w:val="center"/>
              <w:rPr>
                <w:rFonts w:eastAsia="Times New Roman" w:cs="Times New Roman"/>
                <w:color w:val="000000"/>
                <w:sz w:val="20"/>
                <w:szCs w:val="22"/>
                <w:lang w:val="id-ID"/>
              </w:rPr>
            </w:pPr>
            <w:r w:rsidRPr="00415396">
              <w:rPr>
                <w:rFonts w:eastAsia="Times New Roman" w:cs="Times New Roman"/>
                <w:color w:val="000000"/>
                <w:sz w:val="20"/>
                <w:szCs w:val="22"/>
                <w:lang w:val="id-ID"/>
              </w:rPr>
              <w:t>14,21</w:t>
            </w:r>
          </w:p>
        </w:tc>
      </w:tr>
      <w:tr w:rsidR="00415396" w:rsidRPr="00415396" w:rsidTr="00415396">
        <w:trPr>
          <w:trHeight w:val="411"/>
        </w:trPr>
        <w:tc>
          <w:tcPr>
            <w:tcW w:w="1459" w:type="dxa"/>
            <w:tcBorders>
              <w:top w:val="single" w:sz="4" w:space="0" w:color="auto"/>
              <w:left w:val="nil"/>
              <w:bottom w:val="single" w:sz="4" w:space="0" w:color="auto"/>
              <w:right w:val="nil"/>
            </w:tcBorders>
            <w:noWrap/>
            <w:vAlign w:val="center"/>
            <w:hideMark/>
          </w:tcPr>
          <w:p w:rsidR="00415396" w:rsidRPr="00415396" w:rsidRDefault="00415396" w:rsidP="00415396">
            <w:pPr>
              <w:jc w:val="center"/>
              <w:rPr>
                <w:rFonts w:eastAsia="Times New Roman" w:cs="Times New Roman"/>
                <w:b/>
                <w:bCs/>
                <w:color w:val="000000"/>
                <w:sz w:val="20"/>
                <w:szCs w:val="22"/>
                <w:lang w:val="id-ID"/>
              </w:rPr>
            </w:pPr>
            <w:r w:rsidRPr="00415396">
              <w:rPr>
                <w:rFonts w:eastAsia="Times New Roman" w:cs="Times New Roman"/>
                <w:b/>
                <w:bCs/>
                <w:color w:val="000000"/>
                <w:sz w:val="20"/>
                <w:szCs w:val="22"/>
                <w:lang w:val="id-ID"/>
              </w:rPr>
              <w:t>Rata-rata</w:t>
            </w:r>
          </w:p>
        </w:tc>
        <w:tc>
          <w:tcPr>
            <w:tcW w:w="2188" w:type="dxa"/>
            <w:tcBorders>
              <w:top w:val="single" w:sz="4" w:space="0" w:color="auto"/>
              <w:left w:val="nil"/>
              <w:bottom w:val="single" w:sz="4" w:space="0" w:color="auto"/>
              <w:right w:val="nil"/>
            </w:tcBorders>
            <w:noWrap/>
            <w:vAlign w:val="center"/>
            <w:hideMark/>
          </w:tcPr>
          <w:p w:rsidR="00415396" w:rsidRPr="00415396" w:rsidRDefault="00415396" w:rsidP="00415396">
            <w:pPr>
              <w:jc w:val="center"/>
              <w:rPr>
                <w:rFonts w:eastAsia="Times New Roman" w:cs="Times New Roman"/>
                <w:b/>
                <w:bCs/>
                <w:color w:val="000000"/>
                <w:sz w:val="20"/>
                <w:szCs w:val="22"/>
                <w:lang w:val="id-ID"/>
              </w:rPr>
            </w:pPr>
            <w:r w:rsidRPr="00415396">
              <w:rPr>
                <w:rFonts w:eastAsia="Times New Roman" w:cs="Times New Roman"/>
                <w:b/>
                <w:bCs/>
                <w:color w:val="000000"/>
                <w:sz w:val="20"/>
                <w:szCs w:val="22"/>
                <w:lang w:val="id-ID"/>
              </w:rPr>
              <w:t>14,94</w:t>
            </w:r>
          </w:p>
        </w:tc>
      </w:tr>
    </w:tbl>
    <w:p w:rsidR="00415396" w:rsidRPr="00570D64" w:rsidRDefault="00415396" w:rsidP="00415396">
      <w:pPr>
        <w:pStyle w:val="JAK22aBODYARTIKEL"/>
        <w:ind w:left="284" w:firstLine="425"/>
        <w:rPr>
          <w:sz w:val="20"/>
          <w:szCs w:val="20"/>
        </w:rPr>
      </w:pPr>
    </w:p>
    <w:p w:rsidR="00415396" w:rsidRPr="00570D64" w:rsidRDefault="00415396" w:rsidP="00415396">
      <w:pPr>
        <w:pStyle w:val="JAK22aBODYARTIKEL"/>
        <w:ind w:left="284"/>
        <w:rPr>
          <w:sz w:val="20"/>
          <w:szCs w:val="20"/>
        </w:rPr>
      </w:pPr>
      <w:r w:rsidRPr="00570D64">
        <w:rPr>
          <w:sz w:val="20"/>
          <w:szCs w:val="20"/>
        </w:rPr>
        <w:t xml:space="preserve">Sumber: </w:t>
      </w:r>
      <w:r w:rsidRPr="00C04997">
        <w:rPr>
          <w:sz w:val="20"/>
          <w:szCs w:val="20"/>
        </w:rPr>
        <w:t>LRA Kabupaten Wonosobo (Data yang diolah, 2025)</w:t>
      </w:r>
    </w:p>
    <w:p w:rsidR="00415396" w:rsidRDefault="00415396" w:rsidP="00415396">
      <w:pPr>
        <w:pStyle w:val="JAK22aBODYARTIKEL"/>
        <w:ind w:left="284" w:firstLine="425"/>
      </w:pPr>
      <w:r>
        <w:lastRenderedPageBreak/>
        <w:t xml:space="preserve">Rata-rata nilai </w:t>
      </w:r>
      <w:r w:rsidRPr="00F87E8A">
        <w:rPr>
          <w:i/>
        </w:rPr>
        <w:t>share</w:t>
      </w:r>
      <w:r>
        <w:t xml:space="preserve"> Kabupaten Wonosobo selama periode 2020–2024 tercatat sebesar 14,94%. Pada tahun 2020 dan 2021, nilai </w:t>
      </w:r>
      <w:r w:rsidRPr="00F87E8A">
        <w:rPr>
          <w:i/>
        </w:rPr>
        <w:t>share</w:t>
      </w:r>
      <w:r>
        <w:t xml:space="preserve"> berada di atas rata-rata, yang menunjukkan bahwa pada tahun tersebut kemampuan daerah dalam membiayai belanja dari PAD relatif lebih baik. Namun, pada tahun 2022 hingga 2024, nilai </w:t>
      </w:r>
      <w:r w:rsidRPr="00F87E8A">
        <w:rPr>
          <w:i/>
        </w:rPr>
        <w:t>share</w:t>
      </w:r>
      <w:r>
        <w:t xml:space="preserve"> berada di bawah rata-rata, menandakan rendahnya kontribusi PAD dalam mendukung belanja daerah.</w:t>
      </w:r>
    </w:p>
    <w:p w:rsidR="00415396" w:rsidRDefault="00415396" w:rsidP="00415396">
      <w:pPr>
        <w:pStyle w:val="JAK22aBODYARTIKEL"/>
        <w:ind w:left="284" w:firstLine="425"/>
      </w:pPr>
      <w:r>
        <w:t xml:space="preserve">Berdasarkan hasil wawancara dengan informan dari BPPKAD Kabupaten Wonosobo, rendahnya nilai </w:t>
      </w:r>
      <w:r w:rsidRPr="00F87E8A">
        <w:rPr>
          <w:i/>
        </w:rPr>
        <w:t>share</w:t>
      </w:r>
      <w:r>
        <w:t xml:space="preserve"> pada tahun 2022–2024 terutama disebabkan oleh belum optimalnya penggalian potensi PAD, sementara kebutuhan belanja daerah tetap tinggi. Meskipun demikian, pada tahun 2024 mulai terlihat adanya peningkatan nilai </w:t>
      </w:r>
      <w:r w:rsidRPr="00F87E8A">
        <w:rPr>
          <w:i/>
        </w:rPr>
        <w:t>share</w:t>
      </w:r>
      <w:r>
        <w:t xml:space="preserve"> walaupun masih berada di bawah rata-rata, sehingga menunjukkan adanya upaya perbaikan yang dapat terus ditingkatkan ke depannya.</w:t>
      </w:r>
    </w:p>
    <w:p w:rsidR="009F2228" w:rsidRDefault="009F2228" w:rsidP="009F2228">
      <w:pPr>
        <w:pStyle w:val="JAK22aBODYARTIKEL"/>
        <w:numPr>
          <w:ilvl w:val="0"/>
          <w:numId w:val="9"/>
        </w:numPr>
        <w:ind w:left="284" w:hanging="284"/>
      </w:pPr>
      <w:r>
        <w:t xml:space="preserve">Analisis </w:t>
      </w:r>
      <w:r w:rsidRPr="00415396">
        <w:rPr>
          <w:i/>
        </w:rPr>
        <w:t>Growth</w:t>
      </w:r>
    </w:p>
    <w:p w:rsidR="00415396" w:rsidRDefault="00415396" w:rsidP="00415396">
      <w:pPr>
        <w:pStyle w:val="JAK22aBODYARTIKEL"/>
        <w:ind w:left="284" w:firstLine="425"/>
      </w:pPr>
      <w:r>
        <w:t xml:space="preserve">Analisis </w:t>
      </w:r>
      <w:r w:rsidRPr="00415396">
        <w:rPr>
          <w:i/>
        </w:rPr>
        <w:t>growth</w:t>
      </w:r>
      <w:r>
        <w:t xml:space="preserve"> digunakan untuk melihat perkembangan PAD dari tahun ke tahun. Nilai pertumbuhan yang positif menunjukkan bahwa PAD mengalami peningkatan dan memiliki potensi untuk terus berkembang. Sebaliknya, nilai pertumbuhan yang negatif mengindikasikan penurunan penerimaan PAD, yang dapat menggambarkan adanya hambatan dalam pengelolaan pendapatan daerah maupun perubahan kondisi ekonomi daerah.</w:t>
      </w:r>
    </w:p>
    <w:p w:rsidR="00415396" w:rsidRDefault="00415396" w:rsidP="00415396">
      <w:pPr>
        <w:pStyle w:val="JAK22aBODYARTIKEL"/>
        <w:ind w:left="284"/>
        <w:jc w:val="center"/>
      </w:pPr>
      <w:r>
        <w:t xml:space="preserve">Tabel 12. </w:t>
      </w:r>
      <w:r w:rsidRPr="00415396">
        <w:t xml:space="preserve">Hasil Perhitungan Analisis </w:t>
      </w:r>
      <w:r w:rsidRPr="00F87E8A">
        <w:rPr>
          <w:i/>
        </w:rPr>
        <w:t>Growth</w:t>
      </w:r>
      <w:r w:rsidRPr="00415396">
        <w:t xml:space="preserve"> Kabupaten Wonosobo Tahun 2020-2024</w:t>
      </w:r>
    </w:p>
    <w:tbl>
      <w:tblPr>
        <w:tblW w:w="3827" w:type="dxa"/>
        <w:tblInd w:w="284" w:type="dxa"/>
        <w:tblLook w:val="04A0" w:firstRow="1" w:lastRow="0" w:firstColumn="1" w:lastColumn="0" w:noHBand="0" w:noVBand="1"/>
      </w:tblPr>
      <w:tblGrid>
        <w:gridCol w:w="1409"/>
        <w:gridCol w:w="2418"/>
      </w:tblGrid>
      <w:tr w:rsidR="00415396" w:rsidRPr="00415396" w:rsidTr="00415396">
        <w:trPr>
          <w:trHeight w:val="583"/>
        </w:trPr>
        <w:tc>
          <w:tcPr>
            <w:tcW w:w="1409" w:type="dxa"/>
            <w:tcBorders>
              <w:top w:val="single" w:sz="4" w:space="0" w:color="auto"/>
              <w:left w:val="nil"/>
              <w:bottom w:val="single" w:sz="4" w:space="0" w:color="auto"/>
              <w:right w:val="nil"/>
            </w:tcBorders>
            <w:vAlign w:val="center"/>
            <w:hideMark/>
          </w:tcPr>
          <w:p w:rsidR="00415396" w:rsidRPr="00415396" w:rsidRDefault="00415396" w:rsidP="00415396">
            <w:pPr>
              <w:jc w:val="center"/>
              <w:rPr>
                <w:rFonts w:eastAsia="Times New Roman" w:cs="Times New Roman"/>
                <w:b/>
                <w:bCs/>
                <w:color w:val="000000"/>
                <w:sz w:val="20"/>
                <w:szCs w:val="20"/>
                <w:lang w:val="id-ID" w:eastAsia="id-ID"/>
              </w:rPr>
            </w:pPr>
            <w:r w:rsidRPr="00415396">
              <w:rPr>
                <w:rFonts w:eastAsia="Times New Roman" w:cs="Times New Roman"/>
                <w:b/>
                <w:bCs/>
                <w:color w:val="000000"/>
                <w:sz w:val="20"/>
                <w:szCs w:val="20"/>
                <w:lang w:val="id-ID"/>
              </w:rPr>
              <w:t>Tahun</w:t>
            </w:r>
          </w:p>
        </w:tc>
        <w:tc>
          <w:tcPr>
            <w:tcW w:w="2418" w:type="dxa"/>
            <w:tcBorders>
              <w:top w:val="single" w:sz="4" w:space="0" w:color="auto"/>
              <w:left w:val="nil"/>
              <w:bottom w:val="single" w:sz="4" w:space="0" w:color="auto"/>
              <w:right w:val="nil"/>
            </w:tcBorders>
            <w:vAlign w:val="center"/>
            <w:hideMark/>
          </w:tcPr>
          <w:p w:rsidR="00415396" w:rsidRPr="00415396" w:rsidRDefault="00415396" w:rsidP="00415396">
            <w:pPr>
              <w:jc w:val="center"/>
              <w:rPr>
                <w:rFonts w:eastAsia="Times New Roman" w:cs="Times New Roman"/>
                <w:b/>
                <w:bCs/>
                <w:color w:val="000000"/>
                <w:sz w:val="20"/>
                <w:szCs w:val="20"/>
                <w:lang w:val="id-ID"/>
              </w:rPr>
            </w:pPr>
            <w:r w:rsidRPr="00415396">
              <w:rPr>
                <w:rFonts w:eastAsia="Times New Roman" w:cs="Times New Roman"/>
                <w:b/>
                <w:bCs/>
                <w:color w:val="000000"/>
                <w:sz w:val="20"/>
                <w:szCs w:val="20"/>
                <w:lang w:val="id-ID"/>
              </w:rPr>
              <w:t xml:space="preserve">Nilai </w:t>
            </w:r>
            <w:r w:rsidRPr="00415396">
              <w:rPr>
                <w:rFonts w:eastAsia="Times New Roman" w:cs="Times New Roman"/>
                <w:b/>
                <w:bCs/>
                <w:i/>
                <w:iCs/>
                <w:color w:val="000000"/>
                <w:sz w:val="20"/>
                <w:szCs w:val="20"/>
                <w:lang w:val="id-ID"/>
              </w:rPr>
              <w:t>Growth</w:t>
            </w:r>
            <w:r w:rsidRPr="00415396">
              <w:rPr>
                <w:rFonts w:eastAsia="Times New Roman" w:cs="Times New Roman"/>
                <w:b/>
                <w:bCs/>
                <w:i/>
                <w:iCs/>
                <w:color w:val="000000"/>
                <w:sz w:val="20"/>
                <w:szCs w:val="20"/>
                <w:lang w:val="id-ID"/>
              </w:rPr>
              <w:br/>
            </w:r>
            <w:r w:rsidRPr="00415396">
              <w:rPr>
                <w:rFonts w:eastAsia="Times New Roman" w:cs="Times New Roman"/>
                <w:b/>
                <w:bCs/>
                <w:color w:val="000000"/>
                <w:sz w:val="20"/>
                <w:szCs w:val="20"/>
                <w:lang w:val="id-ID"/>
              </w:rPr>
              <w:t>(%)</w:t>
            </w:r>
          </w:p>
        </w:tc>
      </w:tr>
      <w:tr w:rsidR="00415396" w:rsidRPr="00415396" w:rsidTr="00415396">
        <w:trPr>
          <w:trHeight w:val="368"/>
        </w:trPr>
        <w:tc>
          <w:tcPr>
            <w:tcW w:w="1409"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2020</w:t>
            </w:r>
          </w:p>
        </w:tc>
        <w:tc>
          <w:tcPr>
            <w:tcW w:w="2418"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5,60</w:t>
            </w:r>
          </w:p>
        </w:tc>
      </w:tr>
      <w:tr w:rsidR="00415396" w:rsidRPr="00415396" w:rsidTr="00415396">
        <w:trPr>
          <w:trHeight w:val="368"/>
        </w:trPr>
        <w:tc>
          <w:tcPr>
            <w:tcW w:w="1409"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2021</w:t>
            </w:r>
          </w:p>
        </w:tc>
        <w:tc>
          <w:tcPr>
            <w:tcW w:w="2418"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34,97</w:t>
            </w:r>
          </w:p>
        </w:tc>
      </w:tr>
      <w:tr w:rsidR="00415396" w:rsidRPr="00415396" w:rsidTr="00415396">
        <w:trPr>
          <w:trHeight w:val="368"/>
        </w:trPr>
        <w:tc>
          <w:tcPr>
            <w:tcW w:w="1409"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2022</w:t>
            </w:r>
          </w:p>
        </w:tc>
        <w:tc>
          <w:tcPr>
            <w:tcW w:w="2418"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-22,03</w:t>
            </w:r>
          </w:p>
        </w:tc>
      </w:tr>
      <w:tr w:rsidR="00415396" w:rsidRPr="00415396" w:rsidTr="00415396">
        <w:trPr>
          <w:trHeight w:val="368"/>
        </w:trPr>
        <w:tc>
          <w:tcPr>
            <w:tcW w:w="1409"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2023</w:t>
            </w:r>
          </w:p>
        </w:tc>
        <w:tc>
          <w:tcPr>
            <w:tcW w:w="2418"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0,81</w:t>
            </w:r>
          </w:p>
        </w:tc>
      </w:tr>
      <w:tr w:rsidR="00415396" w:rsidRPr="00415396" w:rsidTr="00415396">
        <w:trPr>
          <w:trHeight w:val="368"/>
        </w:trPr>
        <w:tc>
          <w:tcPr>
            <w:tcW w:w="1409"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lastRenderedPageBreak/>
              <w:t>2024</w:t>
            </w:r>
          </w:p>
        </w:tc>
        <w:tc>
          <w:tcPr>
            <w:tcW w:w="2418" w:type="dxa"/>
            <w:noWrap/>
            <w:vAlign w:val="center"/>
            <w:hideMark/>
          </w:tcPr>
          <w:p w:rsidR="00415396" w:rsidRPr="00415396" w:rsidRDefault="00415396" w:rsidP="00415396">
            <w:pPr>
              <w:jc w:val="center"/>
              <w:rPr>
                <w:rFonts w:eastAsia="Times New Roman" w:cs="Times New Roman"/>
                <w:color w:val="000000"/>
                <w:sz w:val="20"/>
                <w:szCs w:val="20"/>
                <w:lang w:val="id-ID"/>
              </w:rPr>
            </w:pPr>
            <w:r w:rsidRPr="00415396">
              <w:rPr>
                <w:rFonts w:eastAsia="Times New Roman" w:cs="Times New Roman"/>
                <w:color w:val="000000"/>
                <w:sz w:val="20"/>
                <w:szCs w:val="20"/>
                <w:lang w:val="id-ID"/>
              </w:rPr>
              <w:t>15,09</w:t>
            </w:r>
          </w:p>
        </w:tc>
      </w:tr>
      <w:tr w:rsidR="00415396" w:rsidRPr="00415396" w:rsidTr="00415396">
        <w:trPr>
          <w:trHeight w:val="368"/>
        </w:trPr>
        <w:tc>
          <w:tcPr>
            <w:tcW w:w="1409" w:type="dxa"/>
            <w:tcBorders>
              <w:top w:val="single" w:sz="4" w:space="0" w:color="auto"/>
              <w:left w:val="nil"/>
              <w:bottom w:val="single" w:sz="4" w:space="0" w:color="auto"/>
              <w:right w:val="nil"/>
            </w:tcBorders>
            <w:noWrap/>
            <w:vAlign w:val="center"/>
            <w:hideMark/>
          </w:tcPr>
          <w:p w:rsidR="00415396" w:rsidRPr="00415396" w:rsidRDefault="00415396" w:rsidP="00415396">
            <w:pPr>
              <w:jc w:val="center"/>
              <w:rPr>
                <w:rFonts w:eastAsia="Times New Roman" w:cs="Times New Roman"/>
                <w:b/>
                <w:bCs/>
                <w:color w:val="000000"/>
                <w:sz w:val="20"/>
                <w:szCs w:val="20"/>
                <w:lang w:val="id-ID"/>
              </w:rPr>
            </w:pPr>
            <w:r w:rsidRPr="00415396">
              <w:rPr>
                <w:rFonts w:eastAsia="Times New Roman" w:cs="Times New Roman"/>
                <w:b/>
                <w:bCs/>
                <w:color w:val="000000"/>
                <w:sz w:val="20"/>
                <w:szCs w:val="20"/>
                <w:lang w:val="id-ID"/>
              </w:rPr>
              <w:t>Rata-rata</w:t>
            </w:r>
          </w:p>
        </w:tc>
        <w:tc>
          <w:tcPr>
            <w:tcW w:w="2418" w:type="dxa"/>
            <w:tcBorders>
              <w:top w:val="single" w:sz="4" w:space="0" w:color="auto"/>
              <w:left w:val="nil"/>
              <w:bottom w:val="single" w:sz="4" w:space="0" w:color="auto"/>
              <w:right w:val="nil"/>
            </w:tcBorders>
            <w:noWrap/>
            <w:vAlign w:val="center"/>
            <w:hideMark/>
          </w:tcPr>
          <w:p w:rsidR="00415396" w:rsidRPr="00415396" w:rsidRDefault="00415396" w:rsidP="00415396">
            <w:pPr>
              <w:jc w:val="center"/>
              <w:rPr>
                <w:rFonts w:eastAsia="Times New Roman" w:cs="Times New Roman"/>
                <w:b/>
                <w:bCs/>
                <w:color w:val="000000"/>
                <w:sz w:val="20"/>
                <w:szCs w:val="20"/>
                <w:lang w:val="id-ID"/>
              </w:rPr>
            </w:pPr>
            <w:r w:rsidRPr="00415396">
              <w:rPr>
                <w:rFonts w:eastAsia="Times New Roman" w:cs="Times New Roman"/>
                <w:b/>
                <w:bCs/>
                <w:color w:val="000000"/>
                <w:sz w:val="20"/>
                <w:szCs w:val="20"/>
                <w:lang w:val="id-ID"/>
              </w:rPr>
              <w:t>6,89</w:t>
            </w:r>
          </w:p>
        </w:tc>
      </w:tr>
    </w:tbl>
    <w:p w:rsidR="00415396" w:rsidRPr="00570D64" w:rsidRDefault="00415396" w:rsidP="00415396">
      <w:pPr>
        <w:pStyle w:val="JAK22aBODYARTIKEL"/>
        <w:ind w:left="284" w:firstLine="425"/>
        <w:rPr>
          <w:sz w:val="20"/>
          <w:szCs w:val="20"/>
        </w:rPr>
      </w:pPr>
    </w:p>
    <w:p w:rsidR="00415396" w:rsidRDefault="00415396" w:rsidP="00415396">
      <w:pPr>
        <w:pStyle w:val="JAK22aBODYARTIKEL"/>
        <w:ind w:left="284"/>
        <w:rPr>
          <w:sz w:val="20"/>
          <w:szCs w:val="20"/>
        </w:rPr>
      </w:pPr>
      <w:r w:rsidRPr="00570D64">
        <w:rPr>
          <w:sz w:val="20"/>
          <w:szCs w:val="20"/>
        </w:rPr>
        <w:t xml:space="preserve">Sumber: </w:t>
      </w:r>
      <w:r w:rsidRPr="00C04997">
        <w:rPr>
          <w:sz w:val="20"/>
          <w:szCs w:val="20"/>
        </w:rPr>
        <w:t>LRA Kabupaten Wonosobo (Data yang diolah, 2025)</w:t>
      </w:r>
    </w:p>
    <w:p w:rsidR="00415396" w:rsidRPr="00570D64" w:rsidRDefault="00415396" w:rsidP="00415396">
      <w:pPr>
        <w:pStyle w:val="JAK22aBODYARTIKEL"/>
        <w:ind w:left="284"/>
        <w:rPr>
          <w:sz w:val="20"/>
          <w:szCs w:val="20"/>
        </w:rPr>
      </w:pPr>
    </w:p>
    <w:p w:rsidR="00415396" w:rsidRDefault="00415396" w:rsidP="00415396">
      <w:pPr>
        <w:pStyle w:val="JAK22aBODYARTIKEL"/>
        <w:ind w:left="284" w:firstLine="425"/>
      </w:pPr>
      <w:r>
        <w:t>Rata-rata pertumbuhan PAD Kabupaten Wonosobo selama periode 2020–2024 adalah sebesar 6,89%. Pertumbuhan tertinggi terjadi pada tahun 2021, yaitu 34,97%. Sedangkan penurunan terdalam terjadi pada tahun 2022 dengan nilai -22,03%. Pola fluktuasi ini menunjukkan bahwa pertumbuhan PAD belum stabil dari tahun ke tahun.</w:t>
      </w:r>
    </w:p>
    <w:p w:rsidR="00415396" w:rsidRDefault="00415396" w:rsidP="00415396">
      <w:pPr>
        <w:pStyle w:val="JAK22aBODYARTIKEL"/>
        <w:ind w:left="284" w:firstLine="425"/>
      </w:pPr>
      <w:r>
        <w:t>Menurut keterangan BPPKAD Kabupaten Wonosobo, ketidakstabilan pertumbuhan PAD pada periode penelitian terutama dipengaruhi oleh dampak pandemi COVID-19, yang memberikan tekanan signifikan terhadap kondisi fiskal daerah. Pemulihan ekonomi pasca-pandemi berlangsung secara bertahap dan tidak merata, sehingga penerimaan PAD belum dapat kembali stabil dalam waktu singkat. Namun demikian, pada tahun 2024 mulai terlihat perbaikan pertumbuhan PAD, yang mencerminkan pulihnya aktivitas ekonomi daerah serta adanya upaya optimalisasi sumber-sumber pendapatan oleh pemerintah daerah.</w:t>
      </w:r>
    </w:p>
    <w:p w:rsidR="009F2228" w:rsidRDefault="009F2228" w:rsidP="009F2228">
      <w:pPr>
        <w:pStyle w:val="JAK22aBODYARTIKEL"/>
        <w:numPr>
          <w:ilvl w:val="0"/>
          <w:numId w:val="9"/>
        </w:numPr>
        <w:ind w:left="284" w:hanging="284"/>
      </w:pPr>
      <w:r>
        <w:t>Klasifikasi Kuadran</w:t>
      </w:r>
    </w:p>
    <w:p w:rsidR="00674D36" w:rsidRDefault="00674D36" w:rsidP="00674D36">
      <w:pPr>
        <w:pStyle w:val="JAK22aBODYARTIKEL"/>
        <w:ind w:left="284" w:firstLine="425"/>
      </w:pPr>
      <w:r>
        <w:t xml:space="preserve">Klasifikasi dilakukan dengan membandingkan nilai </w:t>
      </w:r>
      <w:r w:rsidRPr="00F87E8A">
        <w:rPr>
          <w:i/>
        </w:rPr>
        <w:t>share</w:t>
      </w:r>
      <w:r>
        <w:t xml:space="preserve"> dan </w:t>
      </w:r>
      <w:r w:rsidRPr="00F87E8A">
        <w:rPr>
          <w:i/>
        </w:rPr>
        <w:t>growth</w:t>
      </w:r>
      <w:r>
        <w:t xml:space="preserve"> masing-masing tahun terhadap nilai rata-rata lima tahun terakhir. Hasil perbandingan tersebut kemudian dipetakan ke dalam empat kuadran untuk melihat posisi dan kondisi kemandirian keuangan daerah. Melalui klasifikasi ini, dapat dinilai apakah kemampuan keuangan daerah tergolong ideal atau masih memerlukan peningkatan, baik dari sisi kontribusi PAD terhadap belanja daerah maupun dari sisi pertumbuhan PAD dari tahun ke tahun.</w:t>
      </w:r>
    </w:p>
    <w:p w:rsidR="0046239B" w:rsidRDefault="0046239B" w:rsidP="00674D36">
      <w:pPr>
        <w:pStyle w:val="JAK22aBODYARTIKEL"/>
        <w:ind w:left="284" w:firstLine="425"/>
        <w:jc w:val="center"/>
      </w:pPr>
    </w:p>
    <w:tbl>
      <w:tblPr>
        <w:tblW w:w="4145" w:type="dxa"/>
        <w:tblLook w:val="04A0" w:firstRow="1" w:lastRow="0" w:firstColumn="1" w:lastColumn="0" w:noHBand="0" w:noVBand="1"/>
      </w:tblPr>
      <w:tblGrid>
        <w:gridCol w:w="683"/>
        <w:gridCol w:w="1761"/>
        <w:gridCol w:w="1701"/>
      </w:tblGrid>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rPr>
                <w:rFonts w:eastAsia="Times New Roman" w:cs="Times New Roman"/>
                <w:sz w:val="20"/>
                <w:szCs w:val="20"/>
                <w:lang w:val="id-ID" w:eastAsia="id-ID"/>
              </w:rPr>
            </w:pPr>
          </w:p>
        </w:tc>
        <w:tc>
          <w:tcPr>
            <w:tcW w:w="3462" w:type="dxa"/>
            <w:gridSpan w:val="2"/>
            <w:tcBorders>
              <w:top w:val="nil"/>
              <w:left w:val="nil"/>
              <w:bottom w:val="nil"/>
              <w:right w:val="nil"/>
            </w:tcBorders>
            <w:shd w:val="clear" w:color="auto" w:fill="auto"/>
            <w:noWrap/>
            <w:hideMark/>
          </w:tcPr>
          <w:p w:rsidR="0046239B" w:rsidRPr="0046239B" w:rsidRDefault="0046239B" w:rsidP="0046239B">
            <w:pPr>
              <w:jc w:val="center"/>
              <w:rPr>
                <w:rFonts w:eastAsia="Times New Roman" w:cs="Times New Roman"/>
                <w:i/>
                <w:iCs/>
                <w:color w:val="000000"/>
                <w:sz w:val="20"/>
                <w:szCs w:val="20"/>
                <w:lang w:val="id-ID" w:eastAsia="id-ID"/>
              </w:rPr>
            </w:pPr>
            <w:r w:rsidRPr="0046239B">
              <w:rPr>
                <w:rFonts w:eastAsia="Times New Roman" w:cs="Times New Roman"/>
                <w:i/>
                <w:iCs/>
                <w:color w:val="000000"/>
                <w:sz w:val="20"/>
                <w:szCs w:val="20"/>
                <w:lang w:val="id-ID" w:eastAsia="id-ID"/>
              </w:rPr>
              <w:t>Growth</w:t>
            </w: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i/>
                <w:iCs/>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Kuadran II</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Kuadran I</w:t>
            </w:r>
          </w:p>
        </w:tc>
      </w:tr>
      <w:tr w:rsidR="0046239B" w:rsidRPr="0046239B" w:rsidTr="0046239B">
        <w:trPr>
          <w:trHeight w:val="18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Share</w:t>
            </w:r>
            <w:r w:rsidRPr="0046239B">
              <w:rPr>
                <w:rFonts w:eastAsia="Times New Roman" w:cs="Times New Roman"/>
                <w:color w:val="000000"/>
                <w:sz w:val="20"/>
                <w:szCs w:val="20"/>
                <w:lang w:val="id-ID" w:eastAsia="id-ID"/>
              </w:rPr>
              <w:t xml:space="preserve"> Rendah,</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Share</w:t>
            </w:r>
            <w:r w:rsidRPr="0046239B">
              <w:rPr>
                <w:rFonts w:eastAsia="Times New Roman" w:cs="Times New Roman"/>
                <w:color w:val="000000"/>
                <w:sz w:val="20"/>
                <w:szCs w:val="20"/>
                <w:lang w:val="id-ID" w:eastAsia="id-ID"/>
              </w:rPr>
              <w:t xml:space="preserve"> Tinggi,</w:t>
            </w: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Growth</w:t>
            </w:r>
            <w:r w:rsidRPr="0046239B">
              <w:rPr>
                <w:rFonts w:eastAsia="Times New Roman" w:cs="Times New Roman"/>
                <w:color w:val="000000"/>
                <w:sz w:val="20"/>
                <w:szCs w:val="20"/>
                <w:lang w:val="id-ID" w:eastAsia="id-ID"/>
              </w:rPr>
              <w:t xml:space="preserve"> Tinggi</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Growth</w:t>
            </w:r>
            <w:r w:rsidRPr="0046239B">
              <w:rPr>
                <w:rFonts w:eastAsia="Times New Roman" w:cs="Times New Roman"/>
                <w:color w:val="000000"/>
                <w:sz w:val="20"/>
                <w:szCs w:val="20"/>
                <w:lang w:val="id-ID" w:eastAsia="id-ID"/>
              </w:rPr>
              <w:t xml:space="preserve"> Tinggi</w:t>
            </w:r>
          </w:p>
        </w:tc>
      </w:tr>
      <w:tr w:rsidR="0046239B" w:rsidRPr="0046239B" w:rsidTr="0046239B">
        <w:trPr>
          <w:trHeight w:val="18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2024</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2021</w:t>
            </w:r>
          </w:p>
        </w:tc>
      </w:tr>
      <w:tr w:rsidR="0046239B" w:rsidRPr="0046239B" w:rsidTr="0046239B">
        <w:trPr>
          <w:trHeight w:val="116"/>
        </w:trPr>
        <w:tc>
          <w:tcPr>
            <w:tcW w:w="683" w:type="dxa"/>
            <w:vMerge w:val="restart"/>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i/>
                <w:iCs/>
                <w:color w:val="000000"/>
                <w:sz w:val="20"/>
                <w:szCs w:val="20"/>
                <w:lang w:val="id-ID" w:eastAsia="id-ID"/>
              </w:rPr>
            </w:pPr>
            <w:r w:rsidRPr="0046239B">
              <w:rPr>
                <w:rFonts w:eastAsia="Times New Roman" w:cs="Times New Roman"/>
                <w:i/>
                <w:iCs/>
                <w:color w:val="000000"/>
                <w:sz w:val="20"/>
                <w:szCs w:val="20"/>
                <w:lang w:val="id-ID" w:eastAsia="id-ID"/>
              </w:rPr>
              <w:t>Share</w:t>
            </w:r>
          </w:p>
        </w:tc>
        <w:tc>
          <w:tcPr>
            <w:tcW w:w="1761" w:type="dxa"/>
            <w:tcBorders>
              <w:top w:val="nil"/>
              <w:left w:val="nil"/>
              <w:bottom w:val="single" w:sz="4" w:space="0" w:color="auto"/>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c>
          <w:tcPr>
            <w:tcW w:w="1701" w:type="dxa"/>
            <w:tcBorders>
              <w:top w:val="nil"/>
              <w:left w:val="nil"/>
              <w:bottom w:val="single" w:sz="4" w:space="0" w:color="auto"/>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r>
      <w:tr w:rsidR="0046239B" w:rsidRPr="0046239B" w:rsidTr="0046239B">
        <w:trPr>
          <w:trHeight w:val="80"/>
        </w:trPr>
        <w:tc>
          <w:tcPr>
            <w:tcW w:w="683" w:type="dxa"/>
            <w:vMerge/>
            <w:tcBorders>
              <w:top w:val="nil"/>
              <w:left w:val="nil"/>
              <w:bottom w:val="nil"/>
              <w:right w:val="nil"/>
            </w:tcBorders>
            <w:vAlign w:val="center"/>
            <w:hideMark/>
          </w:tcPr>
          <w:p w:rsidR="0046239B" w:rsidRPr="0046239B" w:rsidRDefault="0046239B" w:rsidP="0046239B">
            <w:pPr>
              <w:rPr>
                <w:rFonts w:eastAsia="Times New Roman" w:cs="Times New Roman"/>
                <w:i/>
                <w:iCs/>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Kuadran IV</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Kuadran III</w:t>
            </w:r>
          </w:p>
        </w:tc>
      </w:tr>
      <w:tr w:rsidR="0046239B" w:rsidRPr="0046239B" w:rsidTr="0046239B">
        <w:trPr>
          <w:trHeight w:val="80"/>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Share</w:t>
            </w:r>
            <w:r w:rsidRPr="0046239B">
              <w:rPr>
                <w:rFonts w:eastAsia="Times New Roman" w:cs="Times New Roman"/>
                <w:color w:val="000000"/>
                <w:sz w:val="20"/>
                <w:szCs w:val="20"/>
                <w:lang w:val="id-ID" w:eastAsia="id-ID"/>
              </w:rPr>
              <w:t xml:space="preserve"> Rendah,</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Share</w:t>
            </w:r>
            <w:r w:rsidRPr="0046239B">
              <w:rPr>
                <w:rFonts w:eastAsia="Times New Roman" w:cs="Times New Roman"/>
                <w:color w:val="000000"/>
                <w:sz w:val="20"/>
                <w:szCs w:val="20"/>
                <w:lang w:val="id-ID" w:eastAsia="id-ID"/>
              </w:rPr>
              <w:t xml:space="preserve"> Tinggi,</w:t>
            </w: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Growth</w:t>
            </w:r>
            <w:r w:rsidRPr="0046239B">
              <w:rPr>
                <w:rFonts w:eastAsia="Times New Roman" w:cs="Times New Roman"/>
                <w:color w:val="000000"/>
                <w:sz w:val="20"/>
                <w:szCs w:val="20"/>
                <w:lang w:val="id-ID" w:eastAsia="id-ID"/>
              </w:rPr>
              <w:t xml:space="preserve"> Rendah</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r w:rsidRPr="0046239B">
              <w:rPr>
                <w:rFonts w:eastAsia="Times New Roman" w:cs="Times New Roman"/>
                <w:i/>
                <w:iCs/>
                <w:color w:val="000000"/>
                <w:sz w:val="20"/>
                <w:szCs w:val="20"/>
                <w:lang w:val="id-ID" w:eastAsia="id-ID"/>
              </w:rPr>
              <w:t>Growth</w:t>
            </w:r>
            <w:r w:rsidRPr="0046239B">
              <w:rPr>
                <w:rFonts w:eastAsia="Times New Roman" w:cs="Times New Roman"/>
                <w:color w:val="000000"/>
                <w:sz w:val="20"/>
                <w:szCs w:val="20"/>
                <w:lang w:val="id-ID" w:eastAsia="id-ID"/>
              </w:rPr>
              <w:t xml:space="preserve"> Rendah</w:t>
            </w:r>
          </w:p>
        </w:tc>
      </w:tr>
      <w:tr w:rsidR="0046239B" w:rsidRPr="0046239B" w:rsidTr="0046239B">
        <w:trPr>
          <w:trHeight w:val="80"/>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r w:rsidRPr="0046239B">
              <w:rPr>
                <w:rFonts w:eastAsia="Times New Roman" w:cs="Times New Roman"/>
                <w:color w:val="000000"/>
                <w:sz w:val="10"/>
                <w:szCs w:val="10"/>
                <w:lang w:val="id-ID" w:eastAsia="id-ID"/>
              </w:rPr>
              <w:t> </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10"/>
                <w:szCs w:val="10"/>
                <w:lang w:val="id-ID" w:eastAsia="id-ID"/>
              </w:rPr>
            </w:pPr>
          </w:p>
        </w:tc>
      </w:tr>
      <w:tr w:rsidR="0046239B" w:rsidRPr="0046239B" w:rsidTr="0046239B">
        <w:trPr>
          <w:trHeight w:val="312"/>
        </w:trPr>
        <w:tc>
          <w:tcPr>
            <w:tcW w:w="683"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sz w:val="20"/>
                <w:szCs w:val="20"/>
                <w:lang w:val="id-ID" w:eastAsia="id-ID"/>
              </w:rPr>
            </w:pPr>
          </w:p>
        </w:tc>
        <w:tc>
          <w:tcPr>
            <w:tcW w:w="1761" w:type="dxa"/>
            <w:tcBorders>
              <w:top w:val="nil"/>
              <w:left w:val="nil"/>
              <w:bottom w:val="nil"/>
              <w:right w:val="single" w:sz="4" w:space="0" w:color="auto"/>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2022 dan 2023</w:t>
            </w:r>
          </w:p>
        </w:tc>
        <w:tc>
          <w:tcPr>
            <w:tcW w:w="1701"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0"/>
                <w:lang w:val="id-ID" w:eastAsia="id-ID"/>
              </w:rPr>
            </w:pPr>
            <w:r w:rsidRPr="0046239B">
              <w:rPr>
                <w:rFonts w:eastAsia="Times New Roman" w:cs="Times New Roman"/>
                <w:b/>
                <w:bCs/>
                <w:color w:val="000000"/>
                <w:sz w:val="20"/>
                <w:szCs w:val="20"/>
                <w:lang w:val="id-ID" w:eastAsia="id-ID"/>
              </w:rPr>
              <w:t>2020</w:t>
            </w:r>
          </w:p>
        </w:tc>
      </w:tr>
    </w:tbl>
    <w:p w:rsidR="0046239B" w:rsidRDefault="0046239B" w:rsidP="0046239B">
      <w:pPr>
        <w:pStyle w:val="JAK22aBODYARTIKEL"/>
        <w:ind w:left="284"/>
        <w:rPr>
          <w:sz w:val="20"/>
          <w:szCs w:val="20"/>
        </w:rPr>
      </w:pPr>
    </w:p>
    <w:p w:rsidR="0046239B" w:rsidRDefault="0046239B" w:rsidP="0046239B">
      <w:pPr>
        <w:pStyle w:val="JAK22aBODYARTIKEL"/>
        <w:ind w:left="284"/>
        <w:rPr>
          <w:sz w:val="20"/>
          <w:szCs w:val="20"/>
        </w:rPr>
      </w:pPr>
      <w:r w:rsidRPr="00C04997">
        <w:rPr>
          <w:sz w:val="20"/>
          <w:szCs w:val="20"/>
        </w:rPr>
        <w:t xml:space="preserve">Sumber: </w:t>
      </w:r>
      <w:r>
        <w:rPr>
          <w:sz w:val="20"/>
          <w:szCs w:val="20"/>
        </w:rPr>
        <w:t xml:space="preserve">BPPKAD Kabupaten Wonosobo (Data </w:t>
      </w:r>
      <w:r w:rsidRPr="00C04997">
        <w:rPr>
          <w:sz w:val="20"/>
          <w:szCs w:val="20"/>
        </w:rPr>
        <w:t>yang diolah, 2025)</w:t>
      </w:r>
    </w:p>
    <w:p w:rsidR="0046239B" w:rsidRPr="0046239B" w:rsidRDefault="0046239B" w:rsidP="0046239B">
      <w:pPr>
        <w:pStyle w:val="JAK22aBODYARTIKEL"/>
        <w:ind w:left="284"/>
        <w:rPr>
          <w:sz w:val="20"/>
          <w:szCs w:val="20"/>
        </w:rPr>
      </w:pPr>
    </w:p>
    <w:p w:rsidR="0046239B" w:rsidRDefault="0046239B" w:rsidP="0046239B">
      <w:pPr>
        <w:pStyle w:val="JAK22aBODYARTIKEL"/>
        <w:ind w:left="284"/>
        <w:jc w:val="center"/>
      </w:pPr>
      <w:r>
        <w:t xml:space="preserve">Gambar 6. Klasifikasi Kuadran </w:t>
      </w:r>
      <w:r w:rsidRPr="00F87E8A">
        <w:rPr>
          <w:i/>
        </w:rPr>
        <w:t>Share</w:t>
      </w:r>
      <w:r>
        <w:t xml:space="preserve"> dan </w:t>
      </w:r>
      <w:r w:rsidRPr="00F87E8A">
        <w:rPr>
          <w:i/>
        </w:rPr>
        <w:t>Growth</w:t>
      </w:r>
      <w:r>
        <w:t xml:space="preserve"> Kabupaten Wonosobo Tahun 2020-2024</w:t>
      </w:r>
    </w:p>
    <w:p w:rsidR="00415396" w:rsidRPr="0046239B" w:rsidRDefault="00415396" w:rsidP="00415396">
      <w:pPr>
        <w:pStyle w:val="JAK22aBODYARTIKEL"/>
        <w:ind w:left="284" w:firstLine="425"/>
        <w:rPr>
          <w:sz w:val="20"/>
          <w:szCs w:val="20"/>
        </w:rPr>
      </w:pPr>
    </w:p>
    <w:p w:rsidR="0046239B" w:rsidRDefault="0046239B" w:rsidP="0046239B">
      <w:pPr>
        <w:pStyle w:val="JAK22aBODYARTIKEL"/>
        <w:ind w:left="284" w:firstLine="425"/>
      </w:pPr>
      <w:r>
        <w:t>Hasil klasifikasi menunjukkan bahwa</w:t>
      </w:r>
    </w:p>
    <w:p w:rsidR="0046239B" w:rsidRDefault="0046239B" w:rsidP="0046239B">
      <w:pPr>
        <w:pStyle w:val="JAK22aBODYARTIKEL"/>
        <w:numPr>
          <w:ilvl w:val="0"/>
          <w:numId w:val="10"/>
        </w:numPr>
        <w:ind w:left="567" w:hanging="283"/>
      </w:pPr>
      <w:r>
        <w:t xml:space="preserve">Tahun 2020: Kuadran III (nilai </w:t>
      </w:r>
      <w:r w:rsidRPr="00F87E8A">
        <w:rPr>
          <w:i/>
        </w:rPr>
        <w:t>share</w:t>
      </w:r>
      <w:r>
        <w:t xml:space="preserve"> tinggi, nilai </w:t>
      </w:r>
      <w:r w:rsidRPr="00F87E8A">
        <w:rPr>
          <w:i/>
        </w:rPr>
        <w:t>growth</w:t>
      </w:r>
      <w:r>
        <w:t xml:space="preserve"> rendah) → mandiri tapi tidak potensial.</w:t>
      </w:r>
    </w:p>
    <w:p w:rsidR="0046239B" w:rsidRDefault="0046239B" w:rsidP="0046239B">
      <w:pPr>
        <w:pStyle w:val="JAK22aBODYARTIKEL"/>
        <w:numPr>
          <w:ilvl w:val="0"/>
          <w:numId w:val="10"/>
        </w:numPr>
        <w:ind w:left="567" w:hanging="283"/>
      </w:pPr>
      <w:r>
        <w:t xml:space="preserve">Tahun 2021: Kuadran I (nilai </w:t>
      </w:r>
      <w:r w:rsidRPr="00F87E8A">
        <w:rPr>
          <w:i/>
        </w:rPr>
        <w:t>share</w:t>
      </w:r>
      <w:r>
        <w:t xml:space="preserve"> tinggi, nilai </w:t>
      </w:r>
      <w:r w:rsidRPr="00F87E8A">
        <w:rPr>
          <w:i/>
        </w:rPr>
        <w:t>growth</w:t>
      </w:r>
      <w:r>
        <w:t xml:space="preserve"> tinggi) → mandiri dan potensial (ideal).</w:t>
      </w:r>
    </w:p>
    <w:p w:rsidR="0046239B" w:rsidRDefault="0046239B" w:rsidP="0046239B">
      <w:pPr>
        <w:pStyle w:val="JAK22aBODYARTIKEL"/>
        <w:numPr>
          <w:ilvl w:val="0"/>
          <w:numId w:val="10"/>
        </w:numPr>
        <w:ind w:left="567" w:hanging="283"/>
      </w:pPr>
      <w:r>
        <w:t xml:space="preserve">Tahun 2022 dan 2023: Kuadran IV (nilai </w:t>
      </w:r>
      <w:r w:rsidRPr="00F87E8A">
        <w:rPr>
          <w:i/>
        </w:rPr>
        <w:t>share</w:t>
      </w:r>
      <w:r>
        <w:t xml:space="preserve"> rendah, nilai </w:t>
      </w:r>
      <w:r w:rsidRPr="00F87E8A">
        <w:rPr>
          <w:i/>
        </w:rPr>
        <w:t>growth</w:t>
      </w:r>
      <w:r>
        <w:t xml:space="preserve"> rendah) → tidak mandiri dan tidak potensial.</w:t>
      </w:r>
    </w:p>
    <w:p w:rsidR="0046239B" w:rsidRDefault="0046239B" w:rsidP="0046239B">
      <w:pPr>
        <w:pStyle w:val="JAK22aBODYARTIKEL"/>
        <w:numPr>
          <w:ilvl w:val="0"/>
          <w:numId w:val="10"/>
        </w:numPr>
        <w:ind w:left="567" w:hanging="283"/>
      </w:pPr>
      <w:r>
        <w:t xml:space="preserve">Tahun 2024: Kuadran II (nilai </w:t>
      </w:r>
      <w:r w:rsidRPr="00F87E8A">
        <w:rPr>
          <w:i/>
        </w:rPr>
        <w:t>share</w:t>
      </w:r>
      <w:r>
        <w:t xml:space="preserve"> rendah, nilai </w:t>
      </w:r>
      <w:r w:rsidRPr="00F87E8A">
        <w:rPr>
          <w:i/>
        </w:rPr>
        <w:t>growth</w:t>
      </w:r>
      <w:r>
        <w:t xml:space="preserve"> tinggi) → tidak mandiri tapi potensial.</w:t>
      </w:r>
    </w:p>
    <w:p w:rsidR="0046239B" w:rsidRDefault="0046239B" w:rsidP="0046239B">
      <w:pPr>
        <w:pStyle w:val="JAK22aBODYARTIKEL"/>
        <w:ind w:left="284" w:firstLine="425"/>
      </w:pPr>
      <w:r>
        <w:t xml:space="preserve">Hasil klasifikasi menunjukkan bahwa Kabupaten Wonosobo sempat berada pada posisi yang ideal di tahun 2021, ketika nilai </w:t>
      </w:r>
      <w:r w:rsidRPr="00F87E8A">
        <w:rPr>
          <w:i/>
        </w:rPr>
        <w:t>share</w:t>
      </w:r>
      <w:r>
        <w:t xml:space="preserve"> dan </w:t>
      </w:r>
      <w:r w:rsidRPr="00F87E8A">
        <w:rPr>
          <w:i/>
        </w:rPr>
        <w:t>growth</w:t>
      </w:r>
      <w:r>
        <w:t xml:space="preserve"> sama-sama berada pada kategori tinggi, sehingga masuk ke Kuadran I (mandiri dan potensial). Pada tahun-tahun berikutnya, posisi menurun hingga berada pada Kuadran IV, yang mencerminkan rendahnya kontribusi PAD terhadap belanja daerah sekaligus melemahnya pertumbuhan PAD. Baru pada tahun 2024 terlihat adanya </w:t>
      </w:r>
      <w:r>
        <w:lastRenderedPageBreak/>
        <w:t>perbaikan, di mana posisi bergeser ke Kuadran II, yang berarti pertumbuhan PAD kembali menunjukkan potensi meskipun tingkat kemandiriannya masih rendah.</w:t>
      </w:r>
    </w:p>
    <w:p w:rsidR="00415396" w:rsidRDefault="0046239B" w:rsidP="0046239B">
      <w:pPr>
        <w:pStyle w:val="JAK22aBODYARTIKEL"/>
        <w:ind w:left="284" w:firstLine="425"/>
      </w:pPr>
      <w:r>
        <w:t>Pergerakan posisi ini menunjukkan bahwa kemandirian fiskal Kabupaten Wonosobo belum stabil dan sangat dipengaruhi oleh dinamika penerimaan PAD. Kondisi tersebut menegaskan perlunya upaya penggalian dan optimalisasi potensi PAD secara lebih intensif dan berkelanjutan, baik melalui peningkatan basis pajak daerah dan retribusi daerah, penguatan sektor ekonomi lokal, maupun perbaikan tata kelola pemungutan pendapatan daerah.</w:t>
      </w:r>
    </w:p>
    <w:p w:rsidR="009F2228" w:rsidRDefault="009F2228" w:rsidP="009F2228">
      <w:pPr>
        <w:pStyle w:val="JAK22aBODYARTIKEL"/>
        <w:numPr>
          <w:ilvl w:val="0"/>
          <w:numId w:val="9"/>
        </w:numPr>
        <w:ind w:left="284" w:hanging="284"/>
      </w:pPr>
      <w:r>
        <w:t xml:space="preserve">Analisis </w:t>
      </w:r>
      <w:r w:rsidRPr="0046239B">
        <w:rPr>
          <w:i/>
        </w:rPr>
        <w:t>Elasticity</w:t>
      </w:r>
    </w:p>
    <w:p w:rsidR="0046239B" w:rsidRDefault="0046239B" w:rsidP="0046239B">
      <w:pPr>
        <w:pStyle w:val="JAK22aBODYARTIKEL"/>
        <w:ind w:left="284" w:firstLine="425"/>
      </w:pPr>
      <w:r>
        <w:t xml:space="preserve">Analisis </w:t>
      </w:r>
      <w:r w:rsidRPr="0046239B">
        <w:rPr>
          <w:i/>
        </w:rPr>
        <w:t>elasticity</w:t>
      </w:r>
      <w:r>
        <w:t xml:space="preserve"> digunakan untuk melihat tingkat responsivitas PAD terhadap perubahan PDRB. Nilai </w:t>
      </w:r>
      <w:r w:rsidRPr="00F87E8A">
        <w:rPr>
          <w:i/>
        </w:rPr>
        <w:t>elasticity</w:t>
      </w:r>
      <w:r>
        <w:t xml:space="preserve"> lebih dari 1 (&gt;1) menunjukkan bahwa PAD bersifat elastis, artinya kenaikan PDRB diikuti peningkatan PAD dalam proporsi yang lebih besar. Sebaliknya, nilai </w:t>
      </w:r>
      <w:r w:rsidRPr="00F87E8A">
        <w:rPr>
          <w:i/>
        </w:rPr>
        <w:t>elasticity</w:t>
      </w:r>
      <w:r>
        <w:t xml:space="preserve"> kurang dari 1 (&lt;1) menunjukkan bahwa PAD bersifat inelastis, sehingga perubahan PDRB tidak berdampak signifikan terhadap peningkatan PAD. Sementara itu, nilai </w:t>
      </w:r>
      <w:r w:rsidRPr="00F87E8A">
        <w:rPr>
          <w:i/>
        </w:rPr>
        <w:t>elasticity</w:t>
      </w:r>
      <w:r>
        <w:t xml:space="preserve"> sama dengan 1 (=1) menandakan bahwa perubahan PDRB berbanding lurus dengan perubahan PAD atau berada dalam kondisi seimbang.</w:t>
      </w:r>
    </w:p>
    <w:p w:rsidR="0046239B" w:rsidRDefault="0046239B" w:rsidP="0046239B">
      <w:pPr>
        <w:pStyle w:val="JAK22aBODYARTIKEL"/>
        <w:ind w:left="284" w:firstLine="425"/>
        <w:jc w:val="center"/>
      </w:pPr>
      <w:r>
        <w:t>Tabel 13.</w:t>
      </w:r>
      <w:r>
        <w:t xml:space="preserve"> </w:t>
      </w:r>
      <w:r>
        <w:t xml:space="preserve">Hasil Perhitungan Analisis </w:t>
      </w:r>
      <w:r w:rsidRPr="00F87E8A">
        <w:rPr>
          <w:i/>
        </w:rPr>
        <w:t>Elasticity</w:t>
      </w:r>
      <w:r>
        <w:t xml:space="preserve"> Kabupaten Wonosobo Tahun 2020-2024</w:t>
      </w:r>
    </w:p>
    <w:tbl>
      <w:tblPr>
        <w:tblW w:w="3803" w:type="dxa"/>
        <w:tblInd w:w="284" w:type="dxa"/>
        <w:tblLook w:val="04A0" w:firstRow="1" w:lastRow="0" w:firstColumn="1" w:lastColumn="0" w:noHBand="0" w:noVBand="1"/>
      </w:tblPr>
      <w:tblGrid>
        <w:gridCol w:w="1559"/>
        <w:gridCol w:w="2244"/>
      </w:tblGrid>
      <w:tr w:rsidR="0046239B" w:rsidRPr="0046239B" w:rsidTr="0046239B">
        <w:trPr>
          <w:trHeight w:val="608"/>
        </w:trPr>
        <w:tc>
          <w:tcPr>
            <w:tcW w:w="1559" w:type="dxa"/>
            <w:tcBorders>
              <w:top w:val="single" w:sz="4" w:space="0" w:color="auto"/>
              <w:left w:val="nil"/>
              <w:bottom w:val="single" w:sz="4" w:space="0" w:color="auto"/>
              <w:right w:val="nil"/>
            </w:tcBorders>
            <w:shd w:val="clear" w:color="auto" w:fill="auto"/>
            <w:vAlign w:val="center"/>
            <w:hideMark/>
          </w:tcPr>
          <w:p w:rsidR="0046239B" w:rsidRPr="0046239B" w:rsidRDefault="0046239B" w:rsidP="0046239B">
            <w:pPr>
              <w:jc w:val="center"/>
              <w:rPr>
                <w:rFonts w:eastAsia="Times New Roman" w:cs="Times New Roman"/>
                <w:b/>
                <w:bCs/>
                <w:color w:val="000000"/>
                <w:sz w:val="20"/>
                <w:szCs w:val="23"/>
                <w:lang w:val="id-ID" w:eastAsia="id-ID"/>
              </w:rPr>
            </w:pPr>
            <w:r w:rsidRPr="0046239B">
              <w:rPr>
                <w:rFonts w:eastAsia="Times New Roman" w:cs="Times New Roman"/>
                <w:b/>
                <w:bCs/>
                <w:color w:val="000000"/>
                <w:sz w:val="20"/>
                <w:szCs w:val="23"/>
                <w:lang w:val="id-ID" w:eastAsia="id-ID"/>
              </w:rPr>
              <w:t>Tahun</w:t>
            </w:r>
          </w:p>
        </w:tc>
        <w:tc>
          <w:tcPr>
            <w:tcW w:w="2244" w:type="dxa"/>
            <w:tcBorders>
              <w:top w:val="single" w:sz="4" w:space="0" w:color="auto"/>
              <w:left w:val="nil"/>
              <w:bottom w:val="single" w:sz="4" w:space="0" w:color="auto"/>
              <w:right w:val="nil"/>
            </w:tcBorders>
            <w:shd w:val="clear" w:color="auto" w:fill="auto"/>
            <w:vAlign w:val="center"/>
            <w:hideMark/>
          </w:tcPr>
          <w:p w:rsidR="0046239B" w:rsidRPr="0046239B" w:rsidRDefault="0046239B" w:rsidP="0046239B">
            <w:pPr>
              <w:jc w:val="center"/>
              <w:rPr>
                <w:rFonts w:eastAsia="Times New Roman" w:cs="Times New Roman"/>
                <w:b/>
                <w:bCs/>
                <w:color w:val="000000"/>
                <w:sz w:val="20"/>
                <w:szCs w:val="23"/>
                <w:lang w:val="id-ID" w:eastAsia="id-ID"/>
              </w:rPr>
            </w:pPr>
            <w:r w:rsidRPr="0046239B">
              <w:rPr>
                <w:rFonts w:eastAsia="Times New Roman" w:cs="Times New Roman"/>
                <w:b/>
                <w:bCs/>
                <w:color w:val="000000"/>
                <w:sz w:val="20"/>
                <w:szCs w:val="23"/>
                <w:lang w:val="id-ID" w:eastAsia="id-ID"/>
              </w:rPr>
              <w:t xml:space="preserve">Nilai </w:t>
            </w:r>
            <w:r w:rsidRPr="0046239B">
              <w:rPr>
                <w:rFonts w:eastAsia="Times New Roman" w:cs="Times New Roman"/>
                <w:b/>
                <w:bCs/>
                <w:i/>
                <w:iCs/>
                <w:color w:val="000000"/>
                <w:sz w:val="20"/>
                <w:szCs w:val="23"/>
                <w:lang w:val="en-US" w:eastAsia="id-ID"/>
              </w:rPr>
              <w:t>Elasticity</w:t>
            </w:r>
            <w:r w:rsidRPr="0046239B">
              <w:rPr>
                <w:rFonts w:eastAsia="Times New Roman" w:cs="Times New Roman"/>
                <w:b/>
                <w:bCs/>
                <w:i/>
                <w:iCs/>
                <w:color w:val="000000"/>
                <w:sz w:val="20"/>
                <w:szCs w:val="23"/>
                <w:lang w:val="id-ID" w:eastAsia="id-ID"/>
              </w:rPr>
              <w:br/>
            </w:r>
            <w:r w:rsidRPr="0046239B">
              <w:rPr>
                <w:rFonts w:eastAsia="Times New Roman" w:cs="Times New Roman"/>
                <w:b/>
                <w:bCs/>
                <w:color w:val="000000"/>
                <w:sz w:val="20"/>
                <w:szCs w:val="23"/>
                <w:lang w:val="id-ID" w:eastAsia="id-ID"/>
              </w:rPr>
              <w:t>(%)</w:t>
            </w:r>
          </w:p>
        </w:tc>
      </w:tr>
      <w:tr w:rsidR="0046239B" w:rsidRPr="0046239B" w:rsidTr="0046239B">
        <w:trPr>
          <w:trHeight w:val="384"/>
        </w:trPr>
        <w:tc>
          <w:tcPr>
            <w:tcW w:w="1559"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2020</w:t>
            </w:r>
          </w:p>
        </w:tc>
        <w:tc>
          <w:tcPr>
            <w:tcW w:w="2244"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en-US" w:eastAsia="id-ID"/>
              </w:rPr>
              <w:t>-</w:t>
            </w:r>
            <w:r w:rsidRPr="0046239B">
              <w:rPr>
                <w:rFonts w:eastAsia="Times New Roman" w:cs="Times New Roman"/>
                <w:color w:val="000000"/>
                <w:sz w:val="20"/>
                <w:szCs w:val="23"/>
                <w:lang w:val="id-ID" w:eastAsia="id-ID"/>
              </w:rPr>
              <w:t>3,42</w:t>
            </w:r>
          </w:p>
        </w:tc>
      </w:tr>
      <w:tr w:rsidR="0046239B" w:rsidRPr="0046239B" w:rsidTr="0046239B">
        <w:trPr>
          <w:trHeight w:val="384"/>
        </w:trPr>
        <w:tc>
          <w:tcPr>
            <w:tcW w:w="1559"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2021</w:t>
            </w:r>
          </w:p>
        </w:tc>
        <w:tc>
          <w:tcPr>
            <w:tcW w:w="2244"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9,50</w:t>
            </w:r>
          </w:p>
        </w:tc>
      </w:tr>
      <w:tr w:rsidR="0046239B" w:rsidRPr="0046239B" w:rsidTr="0046239B">
        <w:trPr>
          <w:trHeight w:val="384"/>
        </w:trPr>
        <w:tc>
          <w:tcPr>
            <w:tcW w:w="1559"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2022</w:t>
            </w:r>
          </w:p>
        </w:tc>
        <w:tc>
          <w:tcPr>
            <w:tcW w:w="2244"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-4,39</w:t>
            </w:r>
          </w:p>
        </w:tc>
      </w:tr>
      <w:tr w:rsidR="0046239B" w:rsidRPr="0046239B" w:rsidTr="0046239B">
        <w:trPr>
          <w:trHeight w:val="384"/>
        </w:trPr>
        <w:tc>
          <w:tcPr>
            <w:tcW w:w="1559"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2023</w:t>
            </w:r>
          </w:p>
        </w:tc>
        <w:tc>
          <w:tcPr>
            <w:tcW w:w="2244"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0,19</w:t>
            </w:r>
          </w:p>
        </w:tc>
      </w:tr>
      <w:tr w:rsidR="0046239B" w:rsidRPr="0046239B" w:rsidTr="0046239B">
        <w:trPr>
          <w:trHeight w:val="384"/>
        </w:trPr>
        <w:tc>
          <w:tcPr>
            <w:tcW w:w="1559"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2024</w:t>
            </w:r>
          </w:p>
        </w:tc>
        <w:tc>
          <w:tcPr>
            <w:tcW w:w="2244" w:type="dxa"/>
            <w:tcBorders>
              <w:top w:val="nil"/>
              <w:left w:val="nil"/>
              <w:bottom w:val="nil"/>
              <w:right w:val="nil"/>
            </w:tcBorders>
            <w:shd w:val="clear" w:color="auto" w:fill="auto"/>
            <w:noWrap/>
            <w:vAlign w:val="center"/>
            <w:hideMark/>
          </w:tcPr>
          <w:p w:rsidR="0046239B" w:rsidRPr="0046239B" w:rsidRDefault="0046239B" w:rsidP="0046239B">
            <w:pPr>
              <w:jc w:val="center"/>
              <w:rPr>
                <w:rFonts w:eastAsia="Times New Roman" w:cs="Times New Roman"/>
                <w:color w:val="000000"/>
                <w:sz w:val="20"/>
                <w:szCs w:val="23"/>
                <w:lang w:val="id-ID" w:eastAsia="id-ID"/>
              </w:rPr>
            </w:pPr>
            <w:r w:rsidRPr="0046239B">
              <w:rPr>
                <w:rFonts w:eastAsia="Times New Roman" w:cs="Times New Roman"/>
                <w:color w:val="000000"/>
                <w:sz w:val="20"/>
                <w:szCs w:val="23"/>
                <w:lang w:val="id-ID" w:eastAsia="id-ID"/>
              </w:rPr>
              <w:t>3,30</w:t>
            </w:r>
          </w:p>
        </w:tc>
      </w:tr>
      <w:tr w:rsidR="0046239B" w:rsidRPr="0046239B" w:rsidTr="0046239B">
        <w:trPr>
          <w:trHeight w:val="384"/>
        </w:trPr>
        <w:tc>
          <w:tcPr>
            <w:tcW w:w="1559" w:type="dxa"/>
            <w:tcBorders>
              <w:top w:val="single" w:sz="4" w:space="0" w:color="auto"/>
              <w:left w:val="nil"/>
              <w:bottom w:val="single" w:sz="4" w:space="0" w:color="auto"/>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3"/>
                <w:lang w:val="id-ID" w:eastAsia="id-ID"/>
              </w:rPr>
            </w:pPr>
            <w:r w:rsidRPr="0046239B">
              <w:rPr>
                <w:rFonts w:eastAsia="Times New Roman" w:cs="Times New Roman"/>
                <w:b/>
                <w:bCs/>
                <w:color w:val="000000"/>
                <w:sz w:val="20"/>
                <w:szCs w:val="23"/>
                <w:lang w:val="id-ID" w:eastAsia="id-ID"/>
              </w:rPr>
              <w:t>Rata-rata</w:t>
            </w:r>
          </w:p>
        </w:tc>
        <w:tc>
          <w:tcPr>
            <w:tcW w:w="2244" w:type="dxa"/>
            <w:tcBorders>
              <w:top w:val="single" w:sz="4" w:space="0" w:color="auto"/>
              <w:left w:val="nil"/>
              <w:bottom w:val="single" w:sz="4" w:space="0" w:color="auto"/>
              <w:right w:val="nil"/>
            </w:tcBorders>
            <w:shd w:val="clear" w:color="auto" w:fill="auto"/>
            <w:noWrap/>
            <w:vAlign w:val="center"/>
            <w:hideMark/>
          </w:tcPr>
          <w:p w:rsidR="0046239B" w:rsidRPr="0046239B" w:rsidRDefault="0046239B" w:rsidP="0046239B">
            <w:pPr>
              <w:jc w:val="center"/>
              <w:rPr>
                <w:rFonts w:eastAsia="Times New Roman" w:cs="Times New Roman"/>
                <w:b/>
                <w:bCs/>
                <w:color w:val="000000"/>
                <w:sz w:val="20"/>
                <w:szCs w:val="23"/>
                <w:lang w:val="id-ID" w:eastAsia="id-ID"/>
              </w:rPr>
            </w:pPr>
            <w:r w:rsidRPr="0046239B">
              <w:rPr>
                <w:rFonts w:eastAsia="Times New Roman" w:cs="Times New Roman"/>
                <w:b/>
                <w:bCs/>
                <w:color w:val="000000"/>
                <w:sz w:val="20"/>
                <w:szCs w:val="23"/>
                <w:lang w:val="id-ID" w:eastAsia="id-ID"/>
              </w:rPr>
              <w:t>1,04</w:t>
            </w:r>
          </w:p>
        </w:tc>
      </w:tr>
    </w:tbl>
    <w:p w:rsidR="0046239B" w:rsidRPr="00570D64" w:rsidRDefault="0046239B" w:rsidP="0046239B">
      <w:pPr>
        <w:pStyle w:val="JAK22aBODYARTIKEL"/>
        <w:ind w:left="284" w:firstLine="425"/>
        <w:rPr>
          <w:sz w:val="20"/>
          <w:szCs w:val="20"/>
        </w:rPr>
      </w:pPr>
    </w:p>
    <w:p w:rsidR="0046239B" w:rsidRDefault="0046239B" w:rsidP="0046239B">
      <w:pPr>
        <w:pStyle w:val="JAK22aBODYARTIKEL"/>
        <w:ind w:left="284"/>
        <w:rPr>
          <w:sz w:val="20"/>
          <w:szCs w:val="20"/>
        </w:rPr>
      </w:pPr>
      <w:r w:rsidRPr="00570D64">
        <w:rPr>
          <w:sz w:val="20"/>
          <w:szCs w:val="20"/>
        </w:rPr>
        <w:lastRenderedPageBreak/>
        <w:t xml:space="preserve">Sumber: </w:t>
      </w:r>
      <w:r w:rsidRPr="00C04997">
        <w:rPr>
          <w:sz w:val="20"/>
          <w:szCs w:val="20"/>
        </w:rPr>
        <w:t>LRA Kabupaten Wonosobo (Data yang diolah, 2025)</w:t>
      </w:r>
    </w:p>
    <w:p w:rsidR="0046239B" w:rsidRPr="00570D64" w:rsidRDefault="0046239B" w:rsidP="0046239B">
      <w:pPr>
        <w:pStyle w:val="JAK22aBODYARTIKEL"/>
        <w:ind w:left="284"/>
        <w:rPr>
          <w:sz w:val="20"/>
          <w:szCs w:val="20"/>
        </w:rPr>
      </w:pPr>
    </w:p>
    <w:p w:rsidR="0046239B" w:rsidRDefault="0046239B" w:rsidP="0046239B">
      <w:pPr>
        <w:pStyle w:val="JAK22aBODYARTIKEL"/>
        <w:ind w:left="284" w:firstLine="425"/>
      </w:pPr>
      <w:r>
        <w:t>Pada tahun 2020, 2022, dan 2023, nilai elastisitas bernilai kurang dari 1, bahkan bernilai negatif pada tahun 2020 dan 2022. Hal ini menunjukkan bahwa pada tahun-tahun tersebut, pertumbuhan ekonomi daerah belum mampu memberikan pengaruh yang kuat terhadap peningkatan PAD. Dengan kata lain, kenaikan atau penurunan PDRB tidak secara langsung diikuti oleh pergerakan PAD yang sebanding. Kondisi ini dapat mencerminkan bahwa penerimaan PAD masih dipengaruhi oleh faktor lain seperti efektivitas pemungutan, struktur sumber pendapatan yang belum optimal, atau situasi ekonomi yang belum stabil.</w:t>
      </w:r>
    </w:p>
    <w:p w:rsidR="0046239B" w:rsidRDefault="0046239B" w:rsidP="0046239B">
      <w:pPr>
        <w:pStyle w:val="JAK22aBODYARTIKEL"/>
        <w:ind w:left="284" w:firstLine="425"/>
      </w:pPr>
      <w:r>
        <w:t>Sementara pada tahun 2021 dan 2024, nilai elastisitas menunjukkan angka di atas 1, yang berarti pertumbuhan PDRB mampu memberikan dorongan yang kuat terhadap peningkatan PAD pada kedua tahun tersebut. Hal ini menandakan bahwa pada periode tersebut, sumber PAD cenderung lebih produktif dan responsif terhadap kondisi ekonomi daerah. Secara keseluruhan, nilai rata-rata elastisitas sebesar 1,04 menunjukkan bahwa secara umum PAD bersifat cukup elastis terhadap pertumbuhan ekonomi daerah. Namun, fluktuasi antar tahun menunjukkan bahwa hubungan ini belum konsisten, sehingga pemerintah daerah perlu terus mengupayakan penguatan basis penerimaan dan peningkatan efektivitas kebijakan pengelolaan PAD agar ketergantungan terhadap dinamika ekonomi dapat lebih stabil dan berkelanjutan.</w:t>
      </w:r>
    </w:p>
    <w:p w:rsidR="0046239B" w:rsidRPr="0046239B" w:rsidRDefault="0046239B" w:rsidP="0046239B">
      <w:pPr>
        <w:pStyle w:val="JAK22aBODYARTIKEL"/>
        <w:rPr>
          <w:b/>
        </w:rPr>
      </w:pPr>
      <w:r w:rsidRPr="0046239B">
        <w:rPr>
          <w:b/>
        </w:rPr>
        <w:t>Kendala yang Mempengaruhi Tingkat Kemandirian dan Pertumbuhan Ekonomi Daerah Kabupaten Wonosobo Tahun 2020-2024</w:t>
      </w:r>
    </w:p>
    <w:p w:rsidR="0046239B" w:rsidRDefault="0046239B" w:rsidP="0046239B">
      <w:pPr>
        <w:pStyle w:val="JAK22aBODYARTIKEL"/>
        <w:ind w:firstLine="425"/>
      </w:pPr>
      <w:r>
        <w:t xml:space="preserve">Tantangan dalam mencapai kemandirian keuangan daerah di Kabupaten </w:t>
      </w:r>
      <w:r>
        <w:lastRenderedPageBreak/>
        <w:t>Wonosobo masih cukup kompleks. Permasalahan utama terletak pada rendahnya kontribusi PAD serta pengelolaan belanja daerah yang belum sepenuhnya efisien. Upaya peningkatan PAD melalui penerapan sistem e-</w:t>
      </w:r>
      <w:r w:rsidRPr="00F87E8A">
        <w:rPr>
          <w:i/>
        </w:rPr>
        <w:t>lapak</w:t>
      </w:r>
      <w:r>
        <w:t xml:space="preserve"> (elektronifikasi lapor pajak) e-</w:t>
      </w:r>
      <w:r w:rsidRPr="00F87E8A">
        <w:rPr>
          <w:i/>
        </w:rPr>
        <w:t>retribusi</w:t>
      </w:r>
      <w:r>
        <w:t xml:space="preserve"> seperti e-</w:t>
      </w:r>
      <w:r w:rsidRPr="00F87E8A">
        <w:rPr>
          <w:i/>
        </w:rPr>
        <w:t>tiketing</w:t>
      </w:r>
      <w:r>
        <w:t xml:space="preserve"> objek wisata dan </w:t>
      </w:r>
      <w:r w:rsidRPr="00F87E8A">
        <w:rPr>
          <w:i/>
        </w:rPr>
        <w:t>e-retribusi</w:t>
      </w:r>
      <w:r>
        <w:t xml:space="preserve"> pasar sebenarnya telah dilakukan untuk memperbaiki transparansi dan akurasi pemungutan. Namun, implementasinya masih terkendala oleh minimnya literasi digital, terutama di kalangan pedagang pasar yang belum terbiasa dengan sistem pembayaran berbasis elektronik. Selain itu, terdapat hambatan dari sisi ketersediaan sarana pendukung yang disediakan oleh pemerintah.</w:t>
      </w:r>
    </w:p>
    <w:p w:rsidR="0046239B" w:rsidRDefault="0046239B" w:rsidP="0046239B">
      <w:pPr>
        <w:pStyle w:val="JAK22aBODYARTIKEL"/>
        <w:ind w:firstLine="425"/>
      </w:pPr>
      <w:r>
        <w:t>Potensi PAD yang ada belum tergarap secara optimal, sehingga penerimaan yang diperoleh belum mampu mengimbangi kebutuhan pembiayaan daerah. Di sisi pengeluaran, struktur belanja yang didominasi belanja operasi membatasi ruang fiskal untuk pembangunan dan investasi daerah. Kondisi ini menunjukkan bahwa peningkatan kemandirian fiskal memerlukan perbaikan menyeluruh, baik dalam hal perluasan basis pendapatan maupun peningkatan efisiensi pengeluaran.</w:t>
      </w:r>
    </w:p>
    <w:p w:rsidR="0046239B" w:rsidRDefault="0046239B" w:rsidP="0046239B">
      <w:pPr>
        <w:pStyle w:val="JAK22aBODYARTIKEL"/>
        <w:ind w:firstLine="425"/>
      </w:pPr>
      <w:r>
        <w:t>Proses digitalisasi dan modernisasi tata kelola juga menghadapi hambatan karena memerlukan dukungan anggaran, fasilitas teknologi, pelatihan, dan sosialisasi yang memadai. Selain kendala teknis, tingkat literasi masyarakat terhadap layanan digital juga memengaruhi keberhasilan implementasinya.</w:t>
      </w:r>
    </w:p>
    <w:p w:rsidR="0046239B" w:rsidRDefault="0046239B" w:rsidP="0046239B">
      <w:pPr>
        <w:pStyle w:val="JAK22aBODYARTIKEL"/>
        <w:ind w:firstLine="425"/>
      </w:pPr>
      <w:r>
        <w:t>Dampak dari rendahnya PAD terlihat pada terbatasnya kemampuan daerah dalam menjalankan program pembangunan strategis, termasuk pembangunan infrastruktur dan pelayanan publik. Ketergantungan yang tinggi terhadap dana transfer membuat daerah rentan apabila terjadi pengurangan atau keterlambatan alokasi transfer dari pemerintah pusat.</w:t>
      </w:r>
    </w:p>
    <w:p w:rsidR="0046239B" w:rsidRPr="0046239B" w:rsidRDefault="0046239B" w:rsidP="0046239B">
      <w:pPr>
        <w:pStyle w:val="JAK22aBODYARTIKEL"/>
        <w:rPr>
          <w:b/>
        </w:rPr>
      </w:pPr>
      <w:r w:rsidRPr="0046239B">
        <w:rPr>
          <w:b/>
        </w:rPr>
        <w:lastRenderedPageBreak/>
        <w:t>Upaya Pemerintah Kabupaten Wonosobo untuk Menghadapi Kendala</w:t>
      </w:r>
    </w:p>
    <w:p w:rsidR="0046239B" w:rsidRDefault="0046239B" w:rsidP="0046239B">
      <w:pPr>
        <w:pStyle w:val="JAK22aBODYARTIKEL"/>
        <w:ind w:firstLine="425"/>
      </w:pPr>
      <w:r>
        <w:t xml:space="preserve">Pemerintah Kabupaten Wonosobo telah melakukan berbagai upaya untuk meningkatkan kemandirian keuangan daerah. Salah satu langkah yang ditempuh adalah penerapan tapping box, sistem </w:t>
      </w:r>
      <w:r w:rsidRPr="00DD6217">
        <w:rPr>
          <w:i/>
        </w:rPr>
        <w:t>e-lapak</w:t>
      </w:r>
      <w:r>
        <w:t xml:space="preserve"> (elektronifikasi lapor pajak) dan sistem </w:t>
      </w:r>
      <w:r w:rsidRPr="00DD6217">
        <w:rPr>
          <w:i/>
        </w:rPr>
        <w:t>e-retribusi</w:t>
      </w:r>
      <w:r>
        <w:t xml:space="preserve"> pada sektor pariwisata dan pasar guna meminimalisir kebocoran PAD. Fokus optimalisasi diarahkan pada sektor-sektor yang memiliki potensi penerimaan seperti pasar, rekreasi, dan pelayanan publik, dengan penekanan pada pengembangan sumber penerimaan yang telah ada karena keterbatasan potensi sumber baru.</w:t>
      </w:r>
    </w:p>
    <w:p w:rsidR="0046239B" w:rsidRDefault="0046239B" w:rsidP="0046239B">
      <w:pPr>
        <w:pStyle w:val="JAK22aBODYARTIKEL"/>
        <w:ind w:firstLine="425"/>
      </w:pPr>
      <w:r>
        <w:t>Strategi penguatan pendapatan ditempuh melalui</w:t>
      </w:r>
      <w:bookmarkStart w:id="0" w:name="_GoBack"/>
      <w:bookmarkEnd w:id="0"/>
      <w:r>
        <w:t xml:space="preserve"> intensifikasi, yaitu optimalisasi penagihan dan peningkatan kepatuhan wajib pajak, serta ekstensifikasi dengan pendataan ulang objek pajak dan perluasan basis penerimaan. Di sisi belanja daerah, pemerintah berupaya meningkatkan efisiensi dengan menekan belanja yang tidak bersifat prioritas. Selain itu, digitalisasi pajak dan retribusi daerah terus didorong untuk meningkatkan transparansi dan mengurangi potensi kecurangan. Upaya pendukung lainnya meliputi pemutakhiran data objek pajak, sosialisasi kepada masyarakat, serta pengembangan sektor wisata dan budaya melalui penyediaan infrastruktur dan promosi daerah.</w:t>
      </w:r>
    </w:p>
    <w:p w:rsidR="0046239B" w:rsidRDefault="0046239B" w:rsidP="0046239B">
      <w:pPr>
        <w:pStyle w:val="JAK22aBODYARTIKEL"/>
        <w:ind w:firstLine="425"/>
      </w:pPr>
      <w:r>
        <w:t>Meskipun demikian, hasil pelaksanaan strategi tersebut belum memberikan peningkatan yang optimal. Hambatan struktural masih muncul, seperti tingginya porsi belanja operasi yang membatasi ruang fiskal untuk pengembangan PAD. Selain itu, ketersediaan sarana digital pendukung masih terbatas, sehingga menghambat implementasi penuh sistem digital. Pemerintah daerah juga masih perlu meningkatkan literasi digital masyarakat. Upaya lanjutan tetap dilakukan melalui studi tiru ke daerah lain dan penyederhanaan proses perizinan untuk mendorong masuknya investasi baru.</w:t>
      </w:r>
    </w:p>
    <w:p w:rsidR="005B23CD" w:rsidRDefault="005B23CD" w:rsidP="005B23CD">
      <w:pPr>
        <w:pStyle w:val="JAK21HEADINGPENDAHULUANdll"/>
      </w:pPr>
      <w:r>
        <w:lastRenderedPageBreak/>
        <w:t>SIMPULAN</w:t>
      </w:r>
    </w:p>
    <w:p w:rsidR="00F462BE" w:rsidRDefault="0046239B" w:rsidP="0046239B">
      <w:pPr>
        <w:ind w:firstLine="426"/>
        <w:jc w:val="both"/>
        <w:rPr>
          <w:rFonts w:eastAsia="Times New Roman"/>
        </w:rPr>
      </w:pPr>
      <w:r w:rsidRPr="0046239B">
        <w:rPr>
          <w:rFonts w:eastAsia="Times New Roman"/>
        </w:rPr>
        <w:t>Berdasarkan hasil analisis kemandirian keuangan dan pertumbuhan ekonomi Kabupaten Wonosobo selama tahun 2020–2024, dapat disimpulkan bahwa kemampuan keuangan daerah masih berada pada kategori rendah dengan pola hubungan instruktif, yang menunjukkan tingginya ketergantungan pada pendapatan transfer dan belum optimalnya kontribusi PAD dalam mendukung pembiayaan daerah. Pertumbuhan ekonomi yang tercermin dari variabel share, growth, dan elasticity juga menunjukkan kondisi yang fluktuatif dan belum stabil, serta hanya pada tahun-tahun tertentu menunjukkan potensi penguatan kemandirian fiskal. Kondisi tersebut dipengaruhi oleh keterbatasan penggalian potensi PAD, struktur belanja yang didominasi belanja operasi, serta kendala dalam implementasi digitalisasi pemungutan. Pemerintah daerah telah melakukan berbagai upaya seperti intensifikasi dan ekstensifikasi pajak, penerapan sistem digital pemungutan, serta penguatan sektor-sektor potensial, namun hasilnya belum memberikan peningkatan kemandirian yang signifikan. Ke depan, pengembangan kebijakan perlu diarahkan pada perluasan basis ekonomi produktif, optimalisasi sektor unggulan seperti pariwisata dan UMKM, peningkatan kualitas tata kelola fiskal, serta percepatan digitalisasi layanan publik agar kemandirian keuangan daerah dapat meningkat secara berkelanjutan.</w:t>
      </w:r>
    </w:p>
    <w:p w:rsidR="0046239B" w:rsidRDefault="0046239B" w:rsidP="0046239B">
      <w:pPr>
        <w:ind w:firstLine="426"/>
        <w:jc w:val="both"/>
        <w:rPr>
          <w:lang w:val="en-US"/>
        </w:rPr>
      </w:pPr>
    </w:p>
    <w:p w:rsidR="00CE566F" w:rsidRDefault="00CE566F" w:rsidP="0046239B">
      <w:pPr>
        <w:pStyle w:val="JAK21HEADINGPENDAHULUANdll"/>
        <w:spacing w:before="0"/>
      </w:pPr>
      <w:r>
        <w:t>REFERENSI</w:t>
      </w:r>
    </w:p>
    <w:p w:rsidR="00A74242" w:rsidRPr="00A74242" w:rsidRDefault="00A74242" w:rsidP="00A74242">
      <w:pPr>
        <w:widowControl w:val="0"/>
        <w:autoSpaceDE w:val="0"/>
        <w:autoSpaceDN w:val="0"/>
        <w:adjustRightInd w:val="0"/>
        <w:spacing w:before="120" w:after="120"/>
        <w:ind w:left="480" w:hanging="480"/>
        <w:rPr>
          <w:rFonts w:cs="Times New Roman"/>
          <w:noProof/>
        </w:rPr>
      </w:pPr>
      <w:r>
        <w:fldChar w:fldCharType="begin" w:fldLock="1"/>
      </w:r>
      <w:r>
        <w:instrText xml:space="preserve">ADDIN Mendeley Bibliography CSL_BIBLIOGRAPHY </w:instrText>
      </w:r>
      <w:r>
        <w:fldChar w:fldCharType="separate"/>
      </w:r>
      <w:r w:rsidRPr="00A74242">
        <w:rPr>
          <w:rFonts w:cs="Times New Roman"/>
          <w:noProof/>
        </w:rPr>
        <w:t xml:space="preserve">Abdullah, J., &amp; Hasan, W. (2022). Tingkat Ketergantungan Keuangan Daerah. </w:t>
      </w:r>
      <w:r w:rsidRPr="00A74242">
        <w:rPr>
          <w:rFonts w:cs="Times New Roman"/>
          <w:i/>
          <w:iCs/>
          <w:noProof/>
        </w:rPr>
        <w:t>Gorontalo Accounting Journal</w:t>
      </w:r>
      <w:r w:rsidRPr="00A74242">
        <w:rPr>
          <w:rFonts w:cs="Times New Roman"/>
          <w:noProof/>
        </w:rPr>
        <w:t xml:space="preserve">, </w:t>
      </w:r>
      <w:r w:rsidRPr="00A74242">
        <w:rPr>
          <w:rFonts w:cs="Times New Roman"/>
          <w:i/>
          <w:iCs/>
          <w:noProof/>
        </w:rPr>
        <w:t>5</w:t>
      </w:r>
      <w:r w:rsidRPr="00A74242">
        <w:rPr>
          <w:rFonts w:cs="Times New Roman"/>
          <w:noProof/>
        </w:rPr>
        <w:t>(2), 208. https://doi.org/10.32662/gaj.v5i2.2414</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Amaliyah, A. R. (2020). Analisis Laju Pertumbuhan Dan Efektifitas Penerimaan Retrisubi Pengujian Kendaraan Bermotor Pada Dinas </w:t>
      </w:r>
      <w:r w:rsidRPr="00A74242">
        <w:rPr>
          <w:rFonts w:cs="Times New Roman"/>
          <w:noProof/>
        </w:rPr>
        <w:lastRenderedPageBreak/>
        <w:t xml:space="preserve">Perhubungan Kabupaten Malang. </w:t>
      </w:r>
      <w:r w:rsidRPr="00A74242">
        <w:rPr>
          <w:rFonts w:cs="Times New Roman"/>
          <w:i/>
          <w:iCs/>
          <w:noProof/>
        </w:rPr>
        <w:t>Inventory: Jurnal Akuntansi</w:t>
      </w:r>
      <w:r w:rsidRPr="00A74242">
        <w:rPr>
          <w:rFonts w:cs="Times New Roman"/>
          <w:noProof/>
        </w:rPr>
        <w:t xml:space="preserve">, </w:t>
      </w:r>
      <w:r w:rsidRPr="00A74242">
        <w:rPr>
          <w:rFonts w:cs="Times New Roman"/>
          <w:i/>
          <w:iCs/>
          <w:noProof/>
        </w:rPr>
        <w:t>4</w:t>
      </w:r>
      <w:r w:rsidRPr="00A74242">
        <w:rPr>
          <w:rFonts w:cs="Times New Roman"/>
          <w:noProof/>
        </w:rPr>
        <w:t>(2), 96. https://doi.org/10.25273/inventory.v4i2.7667</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Azwar, A. (2023). Analisis Kemandirian Keuangan Daerah dan Potensi Pertumbuhan Kabupaten/Kota di Sulawesi Selatan Tahun 2017-2021. </w:t>
      </w:r>
      <w:r w:rsidRPr="00A74242">
        <w:rPr>
          <w:rFonts w:cs="Times New Roman"/>
          <w:i/>
          <w:iCs/>
          <w:noProof/>
        </w:rPr>
        <w:t>Jurnal Manajemen Keuangan Publik</w:t>
      </w:r>
      <w:r w:rsidRPr="00A74242">
        <w:rPr>
          <w:rFonts w:cs="Times New Roman"/>
          <w:noProof/>
        </w:rPr>
        <w:t xml:space="preserve">, </w:t>
      </w:r>
      <w:r w:rsidRPr="00A74242">
        <w:rPr>
          <w:rFonts w:cs="Times New Roman"/>
          <w:i/>
          <w:iCs/>
          <w:noProof/>
        </w:rPr>
        <w:t>7</w:t>
      </w:r>
      <w:r w:rsidRPr="00A74242">
        <w:rPr>
          <w:rFonts w:cs="Times New Roman"/>
          <w:noProof/>
        </w:rPr>
        <w:t>(1), 1–25. https://doi.org/10.31092/jmkp.v7i1.2118</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Daerah, P. P., Dak, D. A. N., Di, P., &amp; Riau, P. (2024). Pengaruh Pajak Daerah, DBH, dan DAK terhadap Kemandirian Keuangan Pemda di Provinsi Riau. </w:t>
      </w:r>
      <w:r w:rsidRPr="00A74242">
        <w:rPr>
          <w:rFonts w:cs="Times New Roman"/>
          <w:i/>
          <w:iCs/>
          <w:noProof/>
        </w:rPr>
        <w:t>Jurnal Manajemen Perbendaharaan</w:t>
      </w:r>
      <w:r w:rsidRPr="00A74242">
        <w:rPr>
          <w:rFonts w:cs="Times New Roman"/>
          <w:noProof/>
        </w:rPr>
        <w:t xml:space="preserve">, </w:t>
      </w:r>
      <w:r w:rsidRPr="00A74242">
        <w:rPr>
          <w:rFonts w:cs="Times New Roman"/>
          <w:i/>
          <w:iCs/>
          <w:noProof/>
        </w:rPr>
        <w:t>5</w:t>
      </w:r>
      <w:r w:rsidRPr="00A74242">
        <w:rPr>
          <w:rFonts w:cs="Times New Roman"/>
          <w:noProof/>
        </w:rPr>
        <w:t>(1), 38–56. https://doi.org/10.33105/jmp.v5i1.513</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Fadhilla, R. N., Nissa, D., &amp; Putri, M. (2025). </w:t>
      </w:r>
      <w:r w:rsidRPr="00A74242">
        <w:rPr>
          <w:rFonts w:cs="Times New Roman"/>
          <w:i/>
          <w:iCs/>
          <w:noProof/>
        </w:rPr>
        <w:t>Menakar Kemandirian Keuangan Daerah : Studi Kasus Ketergantungan Fiskal Kabupaten Magelang 2020 – 2024 Universitas Tidar Dwi Noor Fadhilatun Nissa Universitas Tidar Marisa Adilah Putri Universitas Tidar</w:t>
      </w:r>
      <w:r w:rsidRPr="00A74242">
        <w:rPr>
          <w:rFonts w:cs="Times New Roman"/>
          <w:noProof/>
        </w:rPr>
        <w:t xml:space="preserve">. </w:t>
      </w:r>
      <w:r w:rsidRPr="00A74242">
        <w:rPr>
          <w:rFonts w:cs="Times New Roman"/>
          <w:i/>
          <w:iCs/>
          <w:noProof/>
        </w:rPr>
        <w:t>10</w:t>
      </w:r>
      <w:r w:rsidRPr="00A74242">
        <w:rPr>
          <w:rFonts w:cs="Times New Roman"/>
          <w:noProof/>
        </w:rPr>
        <w:t>(April), 129–143.</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Muhammad Khaidir Kahfi Natsir. (2025). Analisis Otonomi Daerah Berdasarkan Undang-Undang Nomor 23 Tahun 2014 Tentang Pemerintahan Daerah. </w:t>
      </w:r>
      <w:r w:rsidRPr="00A74242">
        <w:rPr>
          <w:rFonts w:cs="Times New Roman"/>
          <w:i/>
          <w:iCs/>
          <w:noProof/>
        </w:rPr>
        <w:t>Jurnal Hukum dan Sosial Politik</w:t>
      </w:r>
      <w:r w:rsidRPr="00A74242">
        <w:rPr>
          <w:rFonts w:cs="Times New Roman"/>
          <w:noProof/>
        </w:rPr>
        <w:t xml:space="preserve">, </w:t>
      </w:r>
      <w:r w:rsidRPr="00A74242">
        <w:rPr>
          <w:rFonts w:cs="Times New Roman"/>
          <w:i/>
          <w:iCs/>
          <w:noProof/>
        </w:rPr>
        <w:t>3</w:t>
      </w:r>
      <w:r w:rsidRPr="00A74242">
        <w:rPr>
          <w:rFonts w:cs="Times New Roman"/>
          <w:noProof/>
        </w:rPr>
        <w:t>(1), 141–162. https://doi.org/10.59581/jhsp-widyakarya.v3i1.4718</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Naning Setiani, &amp; Aris Eddy Sarwono. (2025). Analisis Rasio Keuangan Apbd Untuk Menilai Kinerja Keuangan Pemerintah Provinsi Jawa Barat Tahun Angaran 2020-2024. </w:t>
      </w:r>
      <w:r w:rsidRPr="00A74242">
        <w:rPr>
          <w:rFonts w:cs="Times New Roman"/>
          <w:i/>
          <w:iCs/>
          <w:noProof/>
        </w:rPr>
        <w:t>Jurnal Ilmiah Manajemen, Ekonomi dan Akuntansi</w:t>
      </w:r>
      <w:r w:rsidRPr="00A74242">
        <w:rPr>
          <w:rFonts w:cs="Times New Roman"/>
          <w:noProof/>
        </w:rPr>
        <w:t xml:space="preserve">, </w:t>
      </w:r>
      <w:r w:rsidRPr="00A74242">
        <w:rPr>
          <w:rFonts w:cs="Times New Roman"/>
          <w:i/>
          <w:iCs/>
          <w:noProof/>
        </w:rPr>
        <w:t>5</w:t>
      </w:r>
      <w:r w:rsidRPr="00A74242">
        <w:rPr>
          <w:rFonts w:cs="Times New Roman"/>
          <w:noProof/>
        </w:rPr>
        <w:t>(2), 233–246. https://doi.org/10.55606/jurimea.v5i2.957</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Rasid, K., &amp; Waluyo, D. E. (2012). Elastisitas Penerimaan Pendapatan </w:t>
      </w:r>
      <w:r w:rsidRPr="00A74242">
        <w:rPr>
          <w:rFonts w:cs="Times New Roman"/>
          <w:noProof/>
        </w:rPr>
        <w:lastRenderedPageBreak/>
        <w:t xml:space="preserve">Asli Daerah (Pad) Terhadap Produk Domestik Regional Bruto (Pdrb) Di Kabupaten Sumenep. </w:t>
      </w:r>
      <w:r w:rsidRPr="00A74242">
        <w:rPr>
          <w:rFonts w:cs="Times New Roman"/>
          <w:i/>
          <w:iCs/>
          <w:noProof/>
        </w:rPr>
        <w:t>Jurnal Ekonomi Pembangunan</w:t>
      </w:r>
      <w:r w:rsidRPr="00A74242">
        <w:rPr>
          <w:rFonts w:cs="Times New Roman"/>
          <w:noProof/>
        </w:rPr>
        <w:t xml:space="preserve">, </w:t>
      </w:r>
      <w:r w:rsidRPr="00A74242">
        <w:rPr>
          <w:rFonts w:cs="Times New Roman"/>
          <w:i/>
          <w:iCs/>
          <w:noProof/>
        </w:rPr>
        <w:t>10</w:t>
      </w:r>
      <w:r w:rsidRPr="00A74242">
        <w:rPr>
          <w:rFonts w:cs="Times New Roman"/>
          <w:noProof/>
        </w:rPr>
        <w:t>(1), 62. https://doi.org/10.22219/jep.v10i1.3717</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Rasio, A., Pad, E., &amp; Pad, E. (2024). </w:t>
      </w:r>
      <w:r w:rsidRPr="00A74242">
        <w:rPr>
          <w:rFonts w:cs="Times New Roman"/>
          <w:i/>
          <w:iCs/>
          <w:noProof/>
        </w:rPr>
        <w:t>INDEPENDENT : Journal of Economics E-ISSN 2798-5008</w:t>
      </w:r>
      <w:r w:rsidRPr="00A74242">
        <w:rPr>
          <w:rFonts w:cs="Times New Roman"/>
          <w:noProof/>
        </w:rPr>
        <w:t xml:space="preserve">. </w:t>
      </w:r>
      <w:r w:rsidRPr="00A74242">
        <w:rPr>
          <w:rFonts w:cs="Times New Roman"/>
          <w:i/>
          <w:iCs/>
          <w:noProof/>
        </w:rPr>
        <w:t>4</w:t>
      </w:r>
      <w:r w:rsidRPr="00A74242">
        <w:rPr>
          <w:rFonts w:cs="Times New Roman"/>
          <w:noProof/>
        </w:rPr>
        <w:t>, 98–104.</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Saragih, R., Terapan, M., Informasi, S., Medan, P. N., Samosir, K., &amp; Nias, K. (2023). </w:t>
      </w:r>
      <w:r w:rsidRPr="00A74242">
        <w:rPr>
          <w:rFonts w:cs="Times New Roman"/>
          <w:i/>
          <w:iCs/>
          <w:noProof/>
        </w:rPr>
        <w:t>Analisis Kemandirian Keuangan Daerah , Ketergantungan Fiskal dan Efektivitas Fiskal pada Kabupaten Tapanuli Utara dan Daerah Otonomi Barunya Periode Tahun 2018-2022 di Indonesia . Sistem pemerintahan pada masa orde baru yang terpusat ( sentralisasi kekuas</w:t>
      </w:r>
      <w:r w:rsidRPr="00A74242">
        <w:rPr>
          <w:rFonts w:cs="Times New Roman"/>
          <w:noProof/>
        </w:rPr>
        <w:t xml:space="preserve">. </w:t>
      </w:r>
      <w:r w:rsidRPr="00A74242">
        <w:rPr>
          <w:rFonts w:cs="Times New Roman"/>
          <w:i/>
          <w:iCs/>
          <w:noProof/>
        </w:rPr>
        <w:t>6</w:t>
      </w:r>
      <w:r w:rsidRPr="00A74242">
        <w:rPr>
          <w:rFonts w:cs="Times New Roman"/>
          <w:noProof/>
        </w:rPr>
        <w:t>, 1–11.</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Suryahadi, M. Y., &amp; Santosa, A. B. (2024). Analisis Kemampuan Keuangan Daerah Kabupaten/Kota Di Provinsi Jawa Tengah Dalam Pelaksanaan Otonomi Daerah Tahun 2018-2022. </w:t>
      </w:r>
      <w:r w:rsidRPr="00A74242">
        <w:rPr>
          <w:rFonts w:cs="Times New Roman"/>
          <w:i/>
          <w:iCs/>
          <w:noProof/>
        </w:rPr>
        <w:t>Journal of Economic, Bussines and Accounting (COSTING)</w:t>
      </w:r>
      <w:r w:rsidRPr="00A74242">
        <w:rPr>
          <w:rFonts w:cs="Times New Roman"/>
          <w:noProof/>
        </w:rPr>
        <w:t xml:space="preserve">, </w:t>
      </w:r>
      <w:r w:rsidRPr="00A74242">
        <w:rPr>
          <w:rFonts w:cs="Times New Roman"/>
          <w:i/>
          <w:iCs/>
          <w:noProof/>
        </w:rPr>
        <w:t>7</w:t>
      </w:r>
      <w:r w:rsidRPr="00A74242">
        <w:rPr>
          <w:rFonts w:cs="Times New Roman"/>
          <w:noProof/>
        </w:rPr>
        <w:t>(5), 1060–1071. https://doi.org/10.31539/costing.v7i5.11672</w:t>
      </w:r>
    </w:p>
    <w:p w:rsidR="00A74242" w:rsidRPr="00A74242" w:rsidRDefault="00A74242" w:rsidP="00A74242">
      <w:pPr>
        <w:widowControl w:val="0"/>
        <w:autoSpaceDE w:val="0"/>
        <w:autoSpaceDN w:val="0"/>
        <w:adjustRightInd w:val="0"/>
        <w:spacing w:before="120" w:after="120"/>
        <w:ind w:left="480" w:hanging="480"/>
        <w:rPr>
          <w:rFonts w:cs="Times New Roman"/>
          <w:noProof/>
        </w:rPr>
      </w:pPr>
      <w:r w:rsidRPr="00A74242">
        <w:rPr>
          <w:rFonts w:cs="Times New Roman"/>
          <w:noProof/>
        </w:rPr>
        <w:t xml:space="preserve">Waruwu, M., Pu`at, S. N., Utami, P. R., Yanti, E., &amp; Rusydiana, M. (2025). Metode Penelitian Kuantitatif: Konsep, Jenis, Tahapan dan Kelebihan. </w:t>
      </w:r>
      <w:r w:rsidRPr="00A74242">
        <w:rPr>
          <w:rFonts w:cs="Times New Roman"/>
          <w:i/>
          <w:iCs/>
          <w:noProof/>
        </w:rPr>
        <w:t>Jurnal Ilmiah Profesi Pendidikan</w:t>
      </w:r>
      <w:r w:rsidRPr="00A74242">
        <w:rPr>
          <w:rFonts w:cs="Times New Roman"/>
          <w:noProof/>
        </w:rPr>
        <w:t xml:space="preserve">, </w:t>
      </w:r>
      <w:r w:rsidRPr="00A74242">
        <w:rPr>
          <w:rFonts w:cs="Times New Roman"/>
          <w:i/>
          <w:iCs/>
          <w:noProof/>
        </w:rPr>
        <w:t>10</w:t>
      </w:r>
      <w:r w:rsidRPr="00A74242">
        <w:rPr>
          <w:rFonts w:cs="Times New Roman"/>
          <w:noProof/>
        </w:rPr>
        <w:t>(1), 917–932. https://doi.org/10.29303/jipp.v10i1.3057</w:t>
      </w:r>
    </w:p>
    <w:p w:rsidR="00DA070A" w:rsidRPr="00715728" w:rsidRDefault="00A74242" w:rsidP="00F87E8A">
      <w:pPr>
        <w:pStyle w:val="JAK3REFERENSI"/>
        <w:ind w:left="0" w:firstLine="0"/>
      </w:pPr>
      <w:r>
        <w:fldChar w:fldCharType="end"/>
      </w:r>
    </w:p>
    <w:p w:rsidR="008601DC" w:rsidRPr="00715728" w:rsidRDefault="008601DC">
      <w:pPr>
        <w:ind w:left="567" w:hanging="567"/>
        <w:jc w:val="both"/>
      </w:pPr>
    </w:p>
    <w:sectPr w:rsidR="008601DC" w:rsidRPr="00715728" w:rsidSect="0080101E">
      <w:type w:val="continuous"/>
      <w:pgSz w:w="11906" w:h="16838" w:code="9"/>
      <w:pgMar w:top="1701" w:right="1211" w:bottom="1418" w:left="1701" w:header="709" w:footer="709" w:gutter="0"/>
      <w:cols w:num="2" w:space="64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835" w:rsidRDefault="00BC5835" w:rsidP="00F8200C">
      <w:r>
        <w:separator/>
      </w:r>
    </w:p>
  </w:endnote>
  <w:endnote w:type="continuationSeparator" w:id="0">
    <w:p w:rsidR="00BC5835" w:rsidRDefault="00BC5835" w:rsidP="00F82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D36" w:rsidRPr="008806D9" w:rsidRDefault="00674D36" w:rsidP="008806D9">
    <w:pPr>
      <w:pStyle w:val="Footer"/>
      <w:ind w:left="-284"/>
      <w:rPr>
        <w:rFonts w:cs="Times New Roman"/>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835" w:rsidRDefault="00BC5835" w:rsidP="00F8200C">
      <w:r>
        <w:separator/>
      </w:r>
    </w:p>
  </w:footnote>
  <w:footnote w:type="continuationSeparator" w:id="0">
    <w:p w:rsidR="00BC5835" w:rsidRDefault="00BC5835" w:rsidP="00F820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88977"/>
      <w:docPartObj>
        <w:docPartGallery w:val="Page Numbers (Top of Page)"/>
        <w:docPartUnique/>
      </w:docPartObj>
    </w:sdtPr>
    <w:sdtEndPr>
      <w:rPr>
        <w:noProof/>
      </w:rPr>
    </w:sdtEndPr>
    <w:sdtContent>
      <w:p w:rsidR="00674D36" w:rsidRDefault="00674D36">
        <w:pPr>
          <w:pStyle w:val="Header"/>
          <w:jc w:val="right"/>
        </w:pPr>
        <w:r>
          <w:fldChar w:fldCharType="begin"/>
        </w:r>
        <w:r>
          <w:instrText xml:space="preserve"> PAGE   \* MERGEFORMAT </w:instrText>
        </w:r>
        <w:r>
          <w:fldChar w:fldCharType="separate"/>
        </w:r>
        <w:r w:rsidR="00DD6217">
          <w:rPr>
            <w:noProof/>
          </w:rPr>
          <w:t>15</w:t>
        </w:r>
        <w:r>
          <w:rPr>
            <w:noProof/>
          </w:rPr>
          <w:fldChar w:fldCharType="end"/>
        </w:r>
      </w:p>
    </w:sdtContent>
  </w:sdt>
  <w:p w:rsidR="00674D36" w:rsidRPr="00DA070A" w:rsidRDefault="00674D36" w:rsidP="00FC6F07">
    <w:pPr>
      <w:pStyle w:val="JAK26HEADER"/>
      <w:rPr>
        <w:i/>
      </w:rPr>
    </w:pPr>
    <w:r>
      <w:rPr>
        <w:noProof/>
        <w:lang w:val="id-ID" w:eastAsia="id-ID"/>
      </w:rPr>
      <mc:AlternateContent>
        <mc:Choice Requires="wps">
          <w:drawing>
            <wp:anchor distT="0" distB="0" distL="114300" distR="114300" simplePos="0" relativeHeight="251659264" behindDoc="0" locked="0" layoutInCell="1" allowOverlap="1" wp14:anchorId="3E875D9B" wp14:editId="6A1EDCD8">
              <wp:simplePos x="0" y="0"/>
              <wp:positionH relativeFrom="column">
                <wp:posOffset>0</wp:posOffset>
              </wp:positionH>
              <wp:positionV relativeFrom="paragraph">
                <wp:posOffset>256540</wp:posOffset>
              </wp:positionV>
              <wp:extent cx="5715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5FFAE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0.2pt" to="450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" strokecolor="black [3213]" strokeweight=".5pt">
              <v:stroke joinstyle="miter"/>
            </v:line>
          </w:pict>
        </mc:Fallback>
      </mc:AlternateContent>
    </w:r>
    <w:r>
      <w:t>Febri Ardi Nugroho/ Jurnal Akuntansi</w:t>
    </w:r>
    <w:r w:rsidRPr="0080101E">
      <w:t xml:space="preserve"> xx(x) (xxxx) xx-xx</w:t>
    </w:r>
  </w:p>
  <w:p w:rsidR="00674D36" w:rsidRDefault="00674D36" w:rsidP="00C92717">
    <w:pPr>
      <w:pStyle w:val="JAK26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94A0B"/>
    <w:multiLevelType w:val="hybridMultilevel"/>
    <w:tmpl w:val="848A0798"/>
    <w:lvl w:ilvl="0" w:tplc="0409000F">
      <w:start w:val="1"/>
      <w:numFmt w:val="decimal"/>
      <w:lvlText w:val="%1."/>
      <w:lvlJc w:val="left"/>
      <w:pPr>
        <w:ind w:left="1429" w:hanging="360"/>
      </w:pPr>
    </w:lvl>
    <w:lvl w:ilvl="1" w:tplc="0409000F">
      <w:start w:val="1"/>
      <w:numFmt w:val="decimal"/>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16A20C3E"/>
    <w:multiLevelType w:val="hybridMultilevel"/>
    <w:tmpl w:val="B194E9F4"/>
    <w:lvl w:ilvl="0" w:tplc="AD426900">
      <w:start w:val="1"/>
      <w:numFmt w:val="decimal"/>
      <w:lvlText w:val="2.%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 w15:restartNumberingAfterBreak="0">
    <w:nsid w:val="1A252183"/>
    <w:multiLevelType w:val="hybridMultilevel"/>
    <w:tmpl w:val="65945E46"/>
    <w:lvl w:ilvl="0" w:tplc="61B24B48">
      <w:start w:val="1"/>
      <w:numFmt w:val="decimal"/>
      <w:lvlText w:val="%1."/>
      <w:lvlJc w:val="left"/>
      <w:pPr>
        <w:ind w:left="1004"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 w15:restartNumberingAfterBreak="0">
    <w:nsid w:val="246E4DCD"/>
    <w:multiLevelType w:val="hybridMultilevel"/>
    <w:tmpl w:val="DBC00C16"/>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67C0054"/>
    <w:multiLevelType w:val="hybridMultilevel"/>
    <w:tmpl w:val="F9DE690C"/>
    <w:lvl w:ilvl="0" w:tplc="5B240232">
      <w:start w:val="1"/>
      <w:numFmt w:val="lowerLetter"/>
      <w:lvlText w:val="%1."/>
      <w:lvlJc w:val="left"/>
      <w:pPr>
        <w:ind w:left="1429" w:hanging="360"/>
      </w:pPr>
      <w:rPr>
        <w:rFonts w:ascii="Times New Roman" w:eastAsia="Times New Roman" w:hAnsi="Times New Roman" w:cstheme="minorBidi"/>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15:restartNumberingAfterBreak="0">
    <w:nsid w:val="40E25DE1"/>
    <w:multiLevelType w:val="hybridMultilevel"/>
    <w:tmpl w:val="A9D6F85E"/>
    <w:lvl w:ilvl="0" w:tplc="0409000F">
      <w:start w:val="1"/>
      <w:numFmt w:val="decimal"/>
      <w:lvlText w:val="%1."/>
      <w:lvlJc w:val="left"/>
      <w:pPr>
        <w:ind w:left="1429" w:hanging="360"/>
      </w:pPr>
    </w:lvl>
    <w:lvl w:ilvl="1" w:tplc="04210019">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15:restartNumberingAfterBreak="0">
    <w:nsid w:val="476948C2"/>
    <w:multiLevelType w:val="hybridMultilevel"/>
    <w:tmpl w:val="0F36DA56"/>
    <w:lvl w:ilvl="0" w:tplc="0409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7" w15:restartNumberingAfterBreak="0">
    <w:nsid w:val="54A6248A"/>
    <w:multiLevelType w:val="hybridMultilevel"/>
    <w:tmpl w:val="DF8ED850"/>
    <w:lvl w:ilvl="0" w:tplc="AC609484">
      <w:start w:val="1"/>
      <w:numFmt w:val="lowerLetter"/>
      <w:lvlText w:val="%1."/>
      <w:lvlJc w:val="left"/>
      <w:pPr>
        <w:ind w:left="1069" w:hanging="360"/>
      </w:pPr>
      <w:rPr>
        <w:rFonts w:hint="default"/>
      </w:rPr>
    </w:lvl>
    <w:lvl w:ilvl="1" w:tplc="15467806">
      <w:start w:val="1"/>
      <w:numFmt w:val="decimal"/>
      <w:lvlText w:val="%2."/>
      <w:lvlJc w:val="left"/>
      <w:pPr>
        <w:ind w:left="2164" w:hanging="735"/>
      </w:pPr>
      <w:rPr>
        <w:rFonts w:hint="default"/>
      </w:r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5B6E5BEC"/>
    <w:multiLevelType w:val="hybridMultilevel"/>
    <w:tmpl w:val="9518367E"/>
    <w:lvl w:ilvl="0" w:tplc="9662CD2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6E3709A7"/>
    <w:multiLevelType w:val="hybridMultilevel"/>
    <w:tmpl w:val="E7C27E70"/>
    <w:lvl w:ilvl="0" w:tplc="F55C5C6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15:restartNumberingAfterBreak="0">
    <w:nsid w:val="788E3064"/>
    <w:multiLevelType w:val="hybridMultilevel"/>
    <w:tmpl w:val="1302BBB8"/>
    <w:lvl w:ilvl="0" w:tplc="59CA0AF0">
      <w:start w:val="1"/>
      <w:numFmt w:val="decimal"/>
      <w:lvlText w:val="%1."/>
      <w:lvlJc w:val="left"/>
      <w:pPr>
        <w:ind w:left="1444" w:hanging="735"/>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6"/>
  </w:num>
  <w:num w:numId="2">
    <w:abstractNumId w:val="8"/>
  </w:num>
  <w:num w:numId="3">
    <w:abstractNumId w:val="9"/>
  </w:num>
  <w:num w:numId="4">
    <w:abstractNumId w:val="1"/>
  </w:num>
  <w:num w:numId="5">
    <w:abstractNumId w:val="2"/>
  </w:num>
  <w:num w:numId="6">
    <w:abstractNumId w:val="7"/>
  </w:num>
  <w:num w:numId="7">
    <w:abstractNumId w:val="5"/>
  </w:num>
  <w:num w:numId="8">
    <w:abstractNumId w:val="0"/>
  </w:num>
  <w:num w:numId="9">
    <w:abstractNumId w:val="3"/>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8C"/>
    <w:rsid w:val="00000612"/>
    <w:rsid w:val="00036059"/>
    <w:rsid w:val="0004588F"/>
    <w:rsid w:val="00046089"/>
    <w:rsid w:val="000F0EBE"/>
    <w:rsid w:val="00115BD0"/>
    <w:rsid w:val="00125460"/>
    <w:rsid w:val="001513E0"/>
    <w:rsid w:val="00181421"/>
    <w:rsid w:val="00190392"/>
    <w:rsid w:val="001909D8"/>
    <w:rsid w:val="001D17C2"/>
    <w:rsid w:val="001F454F"/>
    <w:rsid w:val="002000C0"/>
    <w:rsid w:val="00261834"/>
    <w:rsid w:val="00264BEE"/>
    <w:rsid w:val="002952CF"/>
    <w:rsid w:val="002A0917"/>
    <w:rsid w:val="002D7E50"/>
    <w:rsid w:val="003660EC"/>
    <w:rsid w:val="003D44C5"/>
    <w:rsid w:val="003F39C5"/>
    <w:rsid w:val="00415396"/>
    <w:rsid w:val="004469E9"/>
    <w:rsid w:val="00450CEA"/>
    <w:rsid w:val="0046239B"/>
    <w:rsid w:val="00464C1B"/>
    <w:rsid w:val="004C4BF9"/>
    <w:rsid w:val="004E6831"/>
    <w:rsid w:val="00570D64"/>
    <w:rsid w:val="00595EF0"/>
    <w:rsid w:val="005B23CD"/>
    <w:rsid w:val="005E2D09"/>
    <w:rsid w:val="00674D36"/>
    <w:rsid w:val="006B5AB5"/>
    <w:rsid w:val="006C3B85"/>
    <w:rsid w:val="007B3F0B"/>
    <w:rsid w:val="007C055D"/>
    <w:rsid w:val="0080101E"/>
    <w:rsid w:val="00816EDB"/>
    <w:rsid w:val="008463D7"/>
    <w:rsid w:val="008601DC"/>
    <w:rsid w:val="008754F6"/>
    <w:rsid w:val="008806D9"/>
    <w:rsid w:val="008B008C"/>
    <w:rsid w:val="009266CA"/>
    <w:rsid w:val="00926A60"/>
    <w:rsid w:val="009414F3"/>
    <w:rsid w:val="009A66C4"/>
    <w:rsid w:val="009B6D78"/>
    <w:rsid w:val="009F2228"/>
    <w:rsid w:val="00A375BA"/>
    <w:rsid w:val="00A415A3"/>
    <w:rsid w:val="00A74242"/>
    <w:rsid w:val="00AA40F5"/>
    <w:rsid w:val="00AA4F03"/>
    <w:rsid w:val="00AC12D2"/>
    <w:rsid w:val="00B175BC"/>
    <w:rsid w:val="00B213A0"/>
    <w:rsid w:val="00B5617C"/>
    <w:rsid w:val="00BB67EB"/>
    <w:rsid w:val="00BC5835"/>
    <w:rsid w:val="00C04997"/>
    <w:rsid w:val="00C20A2A"/>
    <w:rsid w:val="00C54DB3"/>
    <w:rsid w:val="00C92717"/>
    <w:rsid w:val="00CA0AFD"/>
    <w:rsid w:val="00CE566F"/>
    <w:rsid w:val="00CE655F"/>
    <w:rsid w:val="00D12C16"/>
    <w:rsid w:val="00D36CDE"/>
    <w:rsid w:val="00DA070A"/>
    <w:rsid w:val="00DC6CBA"/>
    <w:rsid w:val="00DD6217"/>
    <w:rsid w:val="00DF24A4"/>
    <w:rsid w:val="00E54725"/>
    <w:rsid w:val="00E7216A"/>
    <w:rsid w:val="00EC479D"/>
    <w:rsid w:val="00ED041C"/>
    <w:rsid w:val="00ED5FA9"/>
    <w:rsid w:val="00F12989"/>
    <w:rsid w:val="00F462BE"/>
    <w:rsid w:val="00F67388"/>
    <w:rsid w:val="00F74C19"/>
    <w:rsid w:val="00F8200C"/>
    <w:rsid w:val="00F87E8A"/>
    <w:rsid w:val="00FC6F07"/>
    <w:rsid w:val="00FD1E44"/>
    <w:rsid w:val="00FE26C6"/>
    <w:rsid w:val="00FF043A"/>
    <w:rsid w:val="00FF5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EB62A5"/>
  <w15:chartTrackingRefBased/>
  <w15:docId w15:val="{81CDD9DF-BF38-411F-8459-69B355AD6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9C5"/>
  </w:style>
  <w:style w:type="paragraph" w:styleId="Heading1">
    <w:name w:val="heading 1"/>
    <w:basedOn w:val="Normal"/>
    <w:next w:val="Normal"/>
    <w:link w:val="Heading1Char"/>
    <w:uiPriority w:val="9"/>
    <w:qFormat/>
    <w:rsid w:val="008B008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AK11JUDUL">
    <w:name w:val="JAK_1.1 JUDUL"/>
    <w:basedOn w:val="Normal"/>
    <w:next w:val="Header"/>
    <w:qFormat/>
    <w:rsid w:val="008B008C"/>
    <w:pPr>
      <w:jc w:val="center"/>
    </w:pPr>
    <w:rPr>
      <w:b/>
      <w:bCs/>
      <w:smallCaps/>
      <w:sz w:val="32"/>
    </w:rPr>
  </w:style>
  <w:style w:type="paragraph" w:customStyle="1" w:styleId="JAK12PENULIS">
    <w:name w:val="JAK_1.2 PENULIS"/>
    <w:basedOn w:val="Normal"/>
    <w:qFormat/>
    <w:rsid w:val="00B175BC"/>
    <w:pPr>
      <w:spacing w:before="120" w:after="120"/>
      <w:jc w:val="center"/>
    </w:pPr>
    <w:rPr>
      <w:b/>
      <w:noProof/>
      <w:sz w:val="20"/>
      <w:lang w:val="en-US" w:eastAsia="ko-KR"/>
    </w:rPr>
  </w:style>
  <w:style w:type="character" w:customStyle="1" w:styleId="Heading1Char">
    <w:name w:val="Heading 1 Char"/>
    <w:basedOn w:val="DefaultParagraphFont"/>
    <w:link w:val="Heading1"/>
    <w:uiPriority w:val="9"/>
    <w:rsid w:val="008B008C"/>
    <w:rPr>
      <w:rFonts w:asciiTheme="majorHAnsi" w:eastAsiaTheme="majorEastAsia" w:hAnsiTheme="majorHAnsi" w:cstheme="majorBidi"/>
      <w:color w:val="2F5496" w:themeColor="accent1" w:themeShade="BF"/>
      <w:sz w:val="32"/>
      <w:szCs w:val="32"/>
      <w:lang w:val="id-ID" w:eastAsia="ja-JP"/>
    </w:rPr>
  </w:style>
  <w:style w:type="paragraph" w:styleId="Header">
    <w:name w:val="header"/>
    <w:basedOn w:val="Normal"/>
    <w:link w:val="HeaderChar"/>
    <w:uiPriority w:val="99"/>
    <w:unhideWhenUsed/>
    <w:rsid w:val="00F8200C"/>
    <w:pPr>
      <w:tabs>
        <w:tab w:val="center" w:pos="4513"/>
        <w:tab w:val="right" w:pos="9026"/>
      </w:tabs>
    </w:pPr>
  </w:style>
  <w:style w:type="character" w:customStyle="1" w:styleId="HeaderChar">
    <w:name w:val="Header Char"/>
    <w:basedOn w:val="DefaultParagraphFont"/>
    <w:link w:val="Header"/>
    <w:uiPriority w:val="99"/>
    <w:rsid w:val="00F8200C"/>
  </w:style>
  <w:style w:type="paragraph" w:styleId="Footer">
    <w:name w:val="footer"/>
    <w:basedOn w:val="Normal"/>
    <w:link w:val="FooterChar"/>
    <w:uiPriority w:val="99"/>
    <w:unhideWhenUsed/>
    <w:qFormat/>
    <w:rsid w:val="00F8200C"/>
    <w:pPr>
      <w:tabs>
        <w:tab w:val="center" w:pos="4513"/>
        <w:tab w:val="right" w:pos="9026"/>
      </w:tabs>
    </w:pPr>
  </w:style>
  <w:style w:type="character" w:customStyle="1" w:styleId="FooterChar">
    <w:name w:val="Footer Char"/>
    <w:basedOn w:val="DefaultParagraphFont"/>
    <w:link w:val="Footer"/>
    <w:uiPriority w:val="99"/>
    <w:rsid w:val="00F8200C"/>
  </w:style>
  <w:style w:type="table" w:styleId="TableGrid">
    <w:name w:val="Table Grid"/>
    <w:basedOn w:val="TableNormal"/>
    <w:uiPriority w:val="59"/>
    <w:rsid w:val="00F82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8200C"/>
    <w:rPr>
      <w:rFonts w:cs="Times New Roman"/>
      <w:color w:val="0563C1" w:themeColor="hyperlink"/>
      <w:u w:val="single"/>
    </w:rPr>
  </w:style>
  <w:style w:type="paragraph" w:customStyle="1" w:styleId="JAK14EMAILPENULIS">
    <w:name w:val="JAK_1.4 EMAIL PENULIS"/>
    <w:basedOn w:val="Normal"/>
    <w:qFormat/>
    <w:rsid w:val="00FF5A77"/>
    <w:pPr>
      <w:jc w:val="center"/>
    </w:pPr>
    <w:rPr>
      <w:i/>
      <w:sz w:val="20"/>
      <w:szCs w:val="20"/>
    </w:rPr>
  </w:style>
  <w:style w:type="paragraph" w:customStyle="1" w:styleId="JAK13INSTITUSI">
    <w:name w:val="JAK_1.3 INSTITUSI"/>
    <w:basedOn w:val="Normal"/>
    <w:qFormat/>
    <w:rsid w:val="002952CF"/>
    <w:pPr>
      <w:jc w:val="center"/>
    </w:pPr>
    <w:rPr>
      <w:sz w:val="20"/>
      <w:vertAlign w:val="superscript"/>
    </w:rPr>
  </w:style>
  <w:style w:type="paragraph" w:customStyle="1" w:styleId="JAK15AABSTRACTJUDUL">
    <w:name w:val="JAK_1.5A ABSTRACT JUDUL"/>
    <w:basedOn w:val="Normal"/>
    <w:qFormat/>
    <w:rsid w:val="00B175BC"/>
    <w:pPr>
      <w:spacing w:line="360" w:lineRule="auto"/>
      <w:contextualSpacing/>
      <w:jc w:val="center"/>
    </w:pPr>
    <w:rPr>
      <w:b/>
      <w:i/>
    </w:rPr>
  </w:style>
  <w:style w:type="paragraph" w:customStyle="1" w:styleId="JAK15BABSTRACTBODY">
    <w:name w:val="JAK_1.5B ABSTRACT BODY"/>
    <w:basedOn w:val="Normal"/>
    <w:qFormat/>
    <w:rsid w:val="009414F3"/>
    <w:pPr>
      <w:ind w:firstLine="426"/>
      <w:contextualSpacing/>
      <w:jc w:val="both"/>
    </w:pPr>
    <w:rPr>
      <w:i/>
      <w:sz w:val="22"/>
      <w:szCs w:val="22"/>
    </w:rPr>
  </w:style>
  <w:style w:type="paragraph" w:customStyle="1" w:styleId="JAK15CKEYWORDS">
    <w:name w:val="JAK_1.5C KEYWORDS"/>
    <w:basedOn w:val="Normal"/>
    <w:qFormat/>
    <w:rsid w:val="00926A60"/>
    <w:pPr>
      <w:spacing w:before="120" w:after="120"/>
      <w:contextualSpacing/>
    </w:pPr>
    <w:rPr>
      <w:b/>
      <w:i/>
      <w:sz w:val="22"/>
      <w:szCs w:val="22"/>
    </w:rPr>
  </w:style>
  <w:style w:type="paragraph" w:customStyle="1" w:styleId="JAK16AABSTRAKJUDUL">
    <w:name w:val="JAK_1.6A ABSTRAK JUDUL"/>
    <w:basedOn w:val="Normal"/>
    <w:qFormat/>
    <w:rsid w:val="00E7216A"/>
    <w:pPr>
      <w:spacing w:line="360" w:lineRule="auto"/>
      <w:contextualSpacing/>
      <w:jc w:val="center"/>
    </w:pPr>
    <w:rPr>
      <w:b/>
      <w:szCs w:val="22"/>
    </w:rPr>
  </w:style>
  <w:style w:type="paragraph" w:customStyle="1" w:styleId="JAK16BABSTRAKBODY">
    <w:name w:val="JAK_1.6B ABSTRAK BODY"/>
    <w:basedOn w:val="Normal"/>
    <w:qFormat/>
    <w:rsid w:val="00B175BC"/>
    <w:pPr>
      <w:ind w:firstLine="458"/>
      <w:jc w:val="both"/>
    </w:pPr>
    <w:rPr>
      <w:sz w:val="22"/>
    </w:rPr>
  </w:style>
  <w:style w:type="paragraph" w:customStyle="1" w:styleId="JAK21HEADINGPENDAHULUANdll">
    <w:name w:val="JAK_2.1 HEADING (PENDAHULUAN dll)"/>
    <w:basedOn w:val="Normal"/>
    <w:qFormat/>
    <w:rsid w:val="00AA40F5"/>
    <w:pPr>
      <w:spacing w:before="120" w:after="120"/>
      <w:jc w:val="both"/>
    </w:pPr>
    <w:rPr>
      <w:b/>
      <w:sz w:val="28"/>
      <w:lang w:val="en-US"/>
    </w:rPr>
  </w:style>
  <w:style w:type="paragraph" w:customStyle="1" w:styleId="JAK16CKATAKUNCI">
    <w:name w:val="JAK_1.6C KATA KUNCI"/>
    <w:basedOn w:val="Normal"/>
    <w:qFormat/>
    <w:rsid w:val="00CE566F"/>
    <w:pPr>
      <w:autoSpaceDE w:val="0"/>
      <w:autoSpaceDN w:val="0"/>
      <w:adjustRightInd w:val="0"/>
    </w:pPr>
    <w:rPr>
      <w:b/>
      <w:sz w:val="22"/>
      <w:szCs w:val="22"/>
    </w:rPr>
  </w:style>
  <w:style w:type="paragraph" w:customStyle="1" w:styleId="icsmreferences">
    <w:name w:val="icsm_references"/>
    <w:basedOn w:val="Normal"/>
    <w:rsid w:val="004C4BF9"/>
    <w:pPr>
      <w:ind w:left="240" w:hanging="240"/>
    </w:pPr>
    <w:rPr>
      <w:rFonts w:eastAsia="Times New Roman" w:cs="Times New Roman"/>
      <w:sz w:val="16"/>
      <w:szCs w:val="20"/>
    </w:rPr>
  </w:style>
  <w:style w:type="character" w:customStyle="1" w:styleId="A2">
    <w:name w:val="A2"/>
    <w:uiPriority w:val="99"/>
    <w:rsid w:val="005B23CD"/>
    <w:rPr>
      <w:b/>
      <w:bCs/>
      <w:color w:val="000000"/>
      <w:sz w:val="22"/>
      <w:szCs w:val="22"/>
    </w:rPr>
  </w:style>
  <w:style w:type="paragraph" w:customStyle="1" w:styleId="JAK23SUBHEADING">
    <w:name w:val="JAK_2.3 SUBHEADING"/>
    <w:basedOn w:val="Normal"/>
    <w:next w:val="JAK21HEADINGPENDAHULUANdll"/>
    <w:qFormat/>
    <w:rsid w:val="00F74C19"/>
    <w:pPr>
      <w:jc w:val="both"/>
    </w:pPr>
    <w:rPr>
      <w:rFonts w:eastAsia="Times New Roman"/>
      <w:b/>
    </w:rPr>
  </w:style>
  <w:style w:type="paragraph" w:customStyle="1" w:styleId="JAK26HEADER">
    <w:name w:val="JAK_2.6 HEADER"/>
    <w:basedOn w:val="Header"/>
    <w:qFormat/>
    <w:rsid w:val="00C92717"/>
    <w:pPr>
      <w:jc w:val="center"/>
    </w:pPr>
    <w:rPr>
      <w:sz w:val="20"/>
      <w:szCs w:val="18"/>
    </w:rPr>
  </w:style>
  <w:style w:type="character" w:customStyle="1" w:styleId="UnresolvedMention">
    <w:name w:val="Unresolved Mention"/>
    <w:basedOn w:val="DefaultParagraphFont"/>
    <w:uiPriority w:val="99"/>
    <w:semiHidden/>
    <w:unhideWhenUsed/>
    <w:rsid w:val="00DA070A"/>
    <w:rPr>
      <w:color w:val="808080"/>
      <w:shd w:val="clear" w:color="auto" w:fill="E6E6E6"/>
    </w:rPr>
  </w:style>
  <w:style w:type="paragraph" w:customStyle="1" w:styleId="JAK24ATABELNOMOR">
    <w:name w:val="JAK_2.4A TABEL NOMOR"/>
    <w:basedOn w:val="Normal"/>
    <w:qFormat/>
    <w:rsid w:val="00F74C19"/>
    <w:pPr>
      <w:spacing w:before="120" w:after="120"/>
      <w:jc w:val="center"/>
    </w:pPr>
    <w:rPr>
      <w:rFonts w:eastAsia="Times New Roman"/>
    </w:rPr>
  </w:style>
  <w:style w:type="paragraph" w:customStyle="1" w:styleId="JAK24BTABELBODY">
    <w:name w:val="JAK_2.4B TABEL BODY"/>
    <w:basedOn w:val="Normal"/>
    <w:qFormat/>
    <w:rsid w:val="00115BD0"/>
    <w:pPr>
      <w:jc w:val="center"/>
    </w:pPr>
    <w:rPr>
      <w:bCs/>
      <w:sz w:val="20"/>
      <w:szCs w:val="20"/>
    </w:rPr>
  </w:style>
  <w:style w:type="paragraph" w:customStyle="1" w:styleId="JAK25SUMBERTABELGAMBAR">
    <w:name w:val="JAK_2.5 SUMBER TABEL &amp; GAMBAR"/>
    <w:basedOn w:val="JAK24ATABELNOMOR"/>
    <w:qFormat/>
    <w:rsid w:val="00261834"/>
    <w:pPr>
      <w:spacing w:line="360" w:lineRule="auto"/>
      <w:jc w:val="left"/>
    </w:pPr>
    <w:rPr>
      <w:sz w:val="20"/>
    </w:rPr>
  </w:style>
  <w:style w:type="paragraph" w:customStyle="1" w:styleId="JAK26GAMBARJUDUL">
    <w:name w:val="JAK_2.6 GAMBAR JUDUL"/>
    <w:basedOn w:val="Normal"/>
    <w:qFormat/>
    <w:rsid w:val="00F74C19"/>
    <w:pPr>
      <w:spacing w:before="120" w:after="120"/>
      <w:jc w:val="center"/>
    </w:pPr>
    <w:rPr>
      <w:rFonts w:eastAsia="Times New Roman"/>
    </w:rPr>
  </w:style>
  <w:style w:type="paragraph" w:styleId="Bibliography">
    <w:name w:val="Bibliography"/>
    <w:basedOn w:val="Normal"/>
    <w:next w:val="Normal"/>
    <w:uiPriority w:val="37"/>
    <w:unhideWhenUsed/>
    <w:rsid w:val="006B5AB5"/>
  </w:style>
  <w:style w:type="paragraph" w:customStyle="1" w:styleId="JAK3REFERENSI">
    <w:name w:val="JAK_3 REFERENSI"/>
    <w:basedOn w:val="Normal"/>
    <w:qFormat/>
    <w:rsid w:val="007C055D"/>
    <w:pPr>
      <w:widowControl w:val="0"/>
      <w:autoSpaceDE w:val="0"/>
      <w:autoSpaceDN w:val="0"/>
      <w:adjustRightInd w:val="0"/>
      <w:spacing w:before="120" w:after="120"/>
      <w:ind w:left="567" w:right="-32" w:hanging="568"/>
      <w:jc w:val="both"/>
    </w:pPr>
  </w:style>
  <w:style w:type="paragraph" w:customStyle="1" w:styleId="JAK22aBODYARTIKEL">
    <w:name w:val="JAK_2.2a BODY ARTIKEL"/>
    <w:basedOn w:val="Normal"/>
    <w:qFormat/>
    <w:rsid w:val="00F74C19"/>
    <w:pPr>
      <w:jc w:val="both"/>
    </w:pPr>
    <w:rPr>
      <w:rFonts w:eastAsia="Times New Roman"/>
    </w:rPr>
  </w:style>
  <w:style w:type="character" w:styleId="Strong">
    <w:name w:val="Strong"/>
    <w:basedOn w:val="DefaultParagraphFont"/>
    <w:uiPriority w:val="22"/>
    <w:qFormat/>
    <w:rsid w:val="00264B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955900">
      <w:bodyDiv w:val="1"/>
      <w:marLeft w:val="0"/>
      <w:marRight w:val="0"/>
      <w:marTop w:val="0"/>
      <w:marBottom w:val="0"/>
      <w:divBdr>
        <w:top w:val="none" w:sz="0" w:space="0" w:color="auto"/>
        <w:left w:val="none" w:sz="0" w:space="0" w:color="auto"/>
        <w:bottom w:val="none" w:sz="0" w:space="0" w:color="auto"/>
        <w:right w:val="none" w:sz="0" w:space="0" w:color="auto"/>
      </w:divBdr>
    </w:div>
    <w:div w:id="806164581">
      <w:bodyDiv w:val="1"/>
      <w:marLeft w:val="0"/>
      <w:marRight w:val="0"/>
      <w:marTop w:val="0"/>
      <w:marBottom w:val="0"/>
      <w:divBdr>
        <w:top w:val="none" w:sz="0" w:space="0" w:color="auto"/>
        <w:left w:val="none" w:sz="0" w:space="0" w:color="auto"/>
        <w:bottom w:val="none" w:sz="0" w:space="0" w:color="auto"/>
        <w:right w:val="none" w:sz="0" w:space="0" w:color="auto"/>
      </w:divBdr>
    </w:div>
    <w:div w:id="1882286343">
      <w:bodyDiv w:val="1"/>
      <w:marLeft w:val="0"/>
      <w:marRight w:val="0"/>
      <w:marTop w:val="0"/>
      <w:marBottom w:val="0"/>
      <w:divBdr>
        <w:top w:val="none" w:sz="0" w:space="0" w:color="auto"/>
        <w:left w:val="none" w:sz="0" w:space="0" w:color="auto"/>
        <w:bottom w:val="none" w:sz="0" w:space="0" w:color="auto"/>
        <w:right w:val="none" w:sz="0" w:space="0" w:color="auto"/>
      </w:divBdr>
    </w:div>
    <w:div w:id="1913466363">
      <w:bodyDiv w:val="1"/>
      <w:marLeft w:val="0"/>
      <w:marRight w:val="0"/>
      <w:marTop w:val="0"/>
      <w:marBottom w:val="0"/>
      <w:divBdr>
        <w:top w:val="none" w:sz="0" w:space="0" w:color="auto"/>
        <w:left w:val="none" w:sz="0" w:space="0" w:color="auto"/>
        <w:bottom w:val="none" w:sz="0" w:space="0" w:color="auto"/>
        <w:right w:val="none" w:sz="0" w:space="0" w:color="auto"/>
      </w:divBdr>
    </w:div>
    <w:div w:id="21100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bri.ardi76@gmail.com" TargetMode="Externa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D:\FEBRI\Jurnal\Excel%20Perhitung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FEBRI\Jurnal\Excel%20Perhitunga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FEBRI\Jurnal\Excel%20Perhitungan.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Analisis!$H$2</c:f>
              <c:strCache>
                <c:ptCount val="1"/>
                <c:pt idx="0">
                  <c:v>Rasio Kemandirian Keuangan Daerah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Analisis!$G$3:$G$7</c:f>
              <c:numCache>
                <c:formatCode>General</c:formatCode>
                <c:ptCount val="5"/>
                <c:pt idx="0">
                  <c:v>2020</c:v>
                </c:pt>
                <c:pt idx="1">
                  <c:v>2021</c:v>
                </c:pt>
                <c:pt idx="2">
                  <c:v>2022</c:v>
                </c:pt>
                <c:pt idx="3">
                  <c:v>2023</c:v>
                </c:pt>
                <c:pt idx="4">
                  <c:v>2024</c:v>
                </c:pt>
              </c:numCache>
            </c:numRef>
          </c:cat>
          <c:val>
            <c:numRef>
              <c:f>Analisis!$H$3:$H$7</c:f>
              <c:numCache>
                <c:formatCode>#,##0.00_);\(#,##0.00\)</c:formatCode>
                <c:ptCount val="5"/>
                <c:pt idx="0">
                  <c:v>19.95</c:v>
                </c:pt>
                <c:pt idx="1">
                  <c:v>22.5</c:v>
                </c:pt>
                <c:pt idx="2">
                  <c:v>16.420000000000002</c:v>
                </c:pt>
                <c:pt idx="3">
                  <c:v>15.34</c:v>
                </c:pt>
                <c:pt idx="4">
                  <c:v>17.190000000000001</c:v>
                </c:pt>
              </c:numCache>
            </c:numRef>
          </c:val>
          <c:smooth val="0"/>
          <c:extLst>
            <c:ext xmlns:c16="http://schemas.microsoft.com/office/drawing/2014/chart" uri="{C3380CC4-5D6E-409C-BE32-E72D297353CC}">
              <c16:uniqueId val="{00000000-EE61-4EE1-B291-64D901F8168A}"/>
            </c:ext>
          </c:extLst>
        </c:ser>
        <c:dLbls>
          <c:showLegendKey val="0"/>
          <c:showVal val="0"/>
          <c:showCatName val="0"/>
          <c:showSerName val="0"/>
          <c:showPercent val="0"/>
          <c:showBubbleSize val="0"/>
        </c:dLbls>
        <c:marker val="1"/>
        <c:smooth val="0"/>
        <c:axId val="282675312"/>
        <c:axId val="282675728"/>
      </c:lineChart>
      <c:catAx>
        <c:axId val="28267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82675728"/>
        <c:crosses val="autoZero"/>
        <c:auto val="1"/>
        <c:lblAlgn val="ctr"/>
        <c:lblOffset val="100"/>
        <c:noMultiLvlLbl val="0"/>
      </c:catAx>
      <c:valAx>
        <c:axId val="282675728"/>
        <c:scaling>
          <c:orientation val="minMax"/>
        </c:scaling>
        <c:delete val="0"/>
        <c:axPos val="l"/>
        <c:majorGridlines>
          <c:spPr>
            <a:ln w="9525" cap="flat" cmpd="sng" algn="ctr">
              <a:solidFill>
                <a:schemeClr val="tx1">
                  <a:lumMod val="15000"/>
                  <a:lumOff val="85000"/>
                </a:schemeClr>
              </a:solidFill>
              <a:round/>
            </a:ln>
            <a:effectLst/>
          </c:spPr>
        </c:majorGridlines>
        <c:numFmt formatCode="#,##0.00_);\(#,##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826753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Analisis!$H$12</c:f>
              <c:strCache>
                <c:ptCount val="1"/>
                <c:pt idx="0">
                  <c:v>Rasio Desentralisasi Fiskal Kabupaten Wonosobo Tahun 2020-2024</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Analisis!$G$13:$G$17</c:f>
              <c:numCache>
                <c:formatCode>General</c:formatCode>
                <c:ptCount val="5"/>
                <c:pt idx="0">
                  <c:v>2020</c:v>
                </c:pt>
                <c:pt idx="1">
                  <c:v>2021</c:v>
                </c:pt>
                <c:pt idx="2">
                  <c:v>2022</c:v>
                </c:pt>
                <c:pt idx="3">
                  <c:v>2023</c:v>
                </c:pt>
                <c:pt idx="4">
                  <c:v>2024</c:v>
                </c:pt>
              </c:numCache>
            </c:numRef>
          </c:cat>
          <c:val>
            <c:numRef>
              <c:f>Analisis!$H$13:$H$17</c:f>
              <c:numCache>
                <c:formatCode>#,##0.00_);\(#,##0.00\)</c:formatCode>
                <c:ptCount val="5"/>
                <c:pt idx="0">
                  <c:v>13.396736115143421</c:v>
                </c:pt>
                <c:pt idx="1">
                  <c:v>17.265413512923246</c:v>
                </c:pt>
                <c:pt idx="2">
                  <c:v>13.78904086737387</c:v>
                </c:pt>
                <c:pt idx="3">
                  <c:v>12.981160720852557</c:v>
                </c:pt>
                <c:pt idx="4">
                  <c:v>14.596003592193012</c:v>
                </c:pt>
              </c:numCache>
            </c:numRef>
          </c:val>
          <c:smooth val="0"/>
          <c:extLst>
            <c:ext xmlns:c16="http://schemas.microsoft.com/office/drawing/2014/chart" uri="{C3380CC4-5D6E-409C-BE32-E72D297353CC}">
              <c16:uniqueId val="{00000000-B663-40F3-AE3E-AFF8A3FC55F7}"/>
            </c:ext>
          </c:extLst>
        </c:ser>
        <c:dLbls>
          <c:showLegendKey val="0"/>
          <c:showVal val="0"/>
          <c:showCatName val="0"/>
          <c:showSerName val="0"/>
          <c:showPercent val="0"/>
          <c:showBubbleSize val="0"/>
        </c:dLbls>
        <c:marker val="1"/>
        <c:smooth val="0"/>
        <c:axId val="210571680"/>
        <c:axId val="306215296"/>
      </c:lineChart>
      <c:catAx>
        <c:axId val="21057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306215296"/>
        <c:crosses val="autoZero"/>
        <c:auto val="1"/>
        <c:lblAlgn val="ctr"/>
        <c:lblOffset val="100"/>
        <c:noMultiLvlLbl val="0"/>
      </c:catAx>
      <c:valAx>
        <c:axId val="306215296"/>
        <c:scaling>
          <c:orientation val="minMax"/>
        </c:scaling>
        <c:delete val="0"/>
        <c:axPos val="l"/>
        <c:majorGridlines>
          <c:spPr>
            <a:ln w="9525" cap="flat" cmpd="sng" algn="ctr">
              <a:solidFill>
                <a:schemeClr val="tx1">
                  <a:lumMod val="15000"/>
                  <a:lumOff val="85000"/>
                </a:schemeClr>
              </a:solidFill>
              <a:round/>
            </a:ln>
            <a:effectLst/>
          </c:spPr>
        </c:majorGridlines>
        <c:numFmt formatCode="#,##0.00_);\(#,##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10571680"/>
        <c:crosses val="autoZero"/>
        <c:crossBetween val="between"/>
      </c:valAx>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Analisis!$H$22</c:f>
              <c:strCache>
                <c:ptCount val="1"/>
                <c:pt idx="0">
                  <c:v>Rasio Efektivitas PAD Kabupaten Wonosobo Tahun 2020-2024</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Analisis!$G$23:$G$27</c:f>
              <c:numCache>
                <c:formatCode>General</c:formatCode>
                <c:ptCount val="5"/>
                <c:pt idx="0">
                  <c:v>2020</c:v>
                </c:pt>
                <c:pt idx="1">
                  <c:v>2021</c:v>
                </c:pt>
                <c:pt idx="2">
                  <c:v>2022</c:v>
                </c:pt>
                <c:pt idx="3">
                  <c:v>2023</c:v>
                </c:pt>
                <c:pt idx="4">
                  <c:v>2024</c:v>
                </c:pt>
              </c:numCache>
            </c:numRef>
          </c:cat>
          <c:val>
            <c:numRef>
              <c:f>Analisis!$H$23:$H$27</c:f>
              <c:numCache>
                <c:formatCode>#,##0.00_);\(#,##0.00\)</c:formatCode>
                <c:ptCount val="5"/>
                <c:pt idx="0">
                  <c:v>120.64420548803083</c:v>
                </c:pt>
                <c:pt idx="1">
                  <c:v>142.70636654480788</c:v>
                </c:pt>
                <c:pt idx="2">
                  <c:v>112.15856156399087</c:v>
                </c:pt>
                <c:pt idx="3">
                  <c:v>97.35103996263453</c:v>
                </c:pt>
                <c:pt idx="4">
                  <c:v>97.702233415148825</c:v>
                </c:pt>
              </c:numCache>
            </c:numRef>
          </c:val>
          <c:smooth val="0"/>
          <c:extLst>
            <c:ext xmlns:c16="http://schemas.microsoft.com/office/drawing/2014/chart" uri="{C3380CC4-5D6E-409C-BE32-E72D297353CC}">
              <c16:uniqueId val="{00000000-CBED-4608-BD07-B444D84FC2CB}"/>
            </c:ext>
          </c:extLst>
        </c:ser>
        <c:dLbls>
          <c:showLegendKey val="0"/>
          <c:showVal val="0"/>
          <c:showCatName val="0"/>
          <c:showSerName val="0"/>
          <c:showPercent val="0"/>
          <c:showBubbleSize val="0"/>
        </c:dLbls>
        <c:marker val="1"/>
        <c:smooth val="0"/>
        <c:axId val="213106704"/>
        <c:axId val="279079424"/>
      </c:lineChart>
      <c:catAx>
        <c:axId val="21310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79079424"/>
        <c:crosses val="autoZero"/>
        <c:auto val="1"/>
        <c:lblAlgn val="ctr"/>
        <c:lblOffset val="100"/>
        <c:noMultiLvlLbl val="0"/>
      </c:catAx>
      <c:valAx>
        <c:axId val="279079424"/>
        <c:scaling>
          <c:orientation val="minMax"/>
        </c:scaling>
        <c:delete val="0"/>
        <c:axPos val="l"/>
        <c:majorGridlines>
          <c:spPr>
            <a:ln w="9525" cap="flat" cmpd="sng" algn="ctr">
              <a:solidFill>
                <a:schemeClr val="tx1">
                  <a:lumMod val="15000"/>
                  <a:lumOff val="85000"/>
                </a:schemeClr>
              </a:solidFill>
              <a:round/>
            </a:ln>
            <a:effectLst/>
          </c:spPr>
        </c:majorGridlines>
        <c:numFmt formatCode="#,##0.00_);\(#,##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13106704"/>
        <c:crosses val="autoZero"/>
        <c:crossBetween val="between"/>
      </c:valAx>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Analisis!$H$32</c:f>
              <c:strCache>
                <c:ptCount val="1"/>
                <c:pt idx="0">
                  <c:v>Rasio Ketergantungan Keuangan Daerah Kabupaten Wonosobo Tahun 2020-2024</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Analisis!$G$33:$G$37</c:f>
              <c:numCache>
                <c:formatCode>General</c:formatCode>
                <c:ptCount val="5"/>
                <c:pt idx="0">
                  <c:v>2020</c:v>
                </c:pt>
                <c:pt idx="1">
                  <c:v>2021</c:v>
                </c:pt>
                <c:pt idx="2">
                  <c:v>2022</c:v>
                </c:pt>
                <c:pt idx="3">
                  <c:v>2023</c:v>
                </c:pt>
                <c:pt idx="4">
                  <c:v>2024</c:v>
                </c:pt>
              </c:numCache>
            </c:numRef>
          </c:cat>
          <c:val>
            <c:numRef>
              <c:f>Analisis!$H$33:$H$37</c:f>
              <c:numCache>
                <c:formatCode>#,##0.00_);\(#,##0.00\)</c:formatCode>
                <c:ptCount val="5"/>
                <c:pt idx="0">
                  <c:v>67.166013294000109</c:v>
                </c:pt>
                <c:pt idx="1">
                  <c:v>76.728608533101422</c:v>
                </c:pt>
                <c:pt idx="2">
                  <c:v>83.975872290687931</c:v>
                </c:pt>
                <c:pt idx="3">
                  <c:v>84.628432764217649</c:v>
                </c:pt>
                <c:pt idx="4">
                  <c:v>84.885530632098948</c:v>
                </c:pt>
              </c:numCache>
            </c:numRef>
          </c:val>
          <c:smooth val="0"/>
          <c:extLst>
            <c:ext xmlns:c16="http://schemas.microsoft.com/office/drawing/2014/chart" uri="{C3380CC4-5D6E-409C-BE32-E72D297353CC}">
              <c16:uniqueId val="{00000000-AD7E-4661-90F8-83C191ED083D}"/>
            </c:ext>
          </c:extLst>
        </c:ser>
        <c:dLbls>
          <c:showLegendKey val="0"/>
          <c:showVal val="0"/>
          <c:showCatName val="0"/>
          <c:showSerName val="0"/>
          <c:showPercent val="0"/>
          <c:showBubbleSize val="0"/>
        </c:dLbls>
        <c:marker val="1"/>
        <c:smooth val="0"/>
        <c:axId val="282678640"/>
        <c:axId val="282677808"/>
      </c:lineChart>
      <c:catAx>
        <c:axId val="28267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82677808"/>
        <c:crosses val="autoZero"/>
        <c:auto val="1"/>
        <c:lblAlgn val="ctr"/>
        <c:lblOffset val="100"/>
        <c:noMultiLvlLbl val="0"/>
      </c:catAx>
      <c:valAx>
        <c:axId val="282677808"/>
        <c:scaling>
          <c:orientation val="minMax"/>
        </c:scaling>
        <c:delete val="0"/>
        <c:axPos val="l"/>
        <c:majorGridlines>
          <c:spPr>
            <a:ln w="9525" cap="flat" cmpd="sng" algn="ctr">
              <a:solidFill>
                <a:schemeClr val="tx1">
                  <a:lumMod val="15000"/>
                  <a:lumOff val="85000"/>
                </a:schemeClr>
              </a:solidFill>
              <a:round/>
            </a:ln>
            <a:effectLst/>
          </c:spPr>
        </c:majorGridlines>
        <c:numFmt formatCode="#,##0.00_);\(#,##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282678640"/>
        <c:crosses val="autoZero"/>
        <c:crossBetween val="between"/>
      </c:valAx>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Vei10</b:Tag>
    <b:SourceType>Book</b:SourceType>
    <b:Guid>{1A277A64-2CE4-4319-B793-7E5B91FCBD10}</b:Guid>
    <b:Author>
      <b:Author>
        <b:NameList>
          <b:Person>
            <b:Last>Rivai</b:Last>
            <b:First>Veithzal</b:First>
          </b:Person>
        </b:NameList>
      </b:Author>
    </b:Author>
    <b:Title>Manajemen Sumber Daya Manusia</b:Title>
    <b:Year>2010</b:Year>
    <b:City>Jakarta</b:City>
    <b:Publisher>Rajawali Press</b:Publisher>
    <b:RefOrder>1</b:RefOrder>
  </b:Source>
</b:Sources>
</file>

<file path=customXml/itemProps1.xml><?xml version="1.0" encoding="utf-8"?>
<ds:datastoreItem xmlns:ds="http://schemas.openxmlformats.org/officeDocument/2006/customXml" ds:itemID="{328DB353-F23C-48CB-8501-6C46F73B8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15</Pages>
  <Words>10290</Words>
  <Characters>58653</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ASUS;JEM TEMPLATE</dc:creator>
  <cp:keywords/>
  <dc:description/>
  <cp:lastModifiedBy>Pendapatan</cp:lastModifiedBy>
  <cp:revision>4</cp:revision>
  <dcterms:created xsi:type="dcterms:W3CDTF">2025-11-29T03:45:00Z</dcterms:created>
  <dcterms:modified xsi:type="dcterms:W3CDTF">2025-11-29T06:15:00Z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eaf4e783-791b-3577-9ebd-b8786d989045</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